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84" w:rsidRDefault="004E19D1" w:rsidP="004E19D1">
      <w:pPr>
        <w:pStyle w:val="Title"/>
      </w:pPr>
      <w:r>
        <w:t>Delexamination 4</w:t>
      </w:r>
    </w:p>
    <w:p w:rsidR="004E19D1" w:rsidRDefault="004E19D1" w:rsidP="004E19D1">
      <w:pPr>
        <w:pStyle w:val="Heading1"/>
      </w:pPr>
      <w:r>
        <w:t>Infektion</w:t>
      </w:r>
    </w:p>
    <w:p w:rsidR="00A71D04" w:rsidRDefault="00A71D04" w:rsidP="00A71D04">
      <w:pPr>
        <w:pStyle w:val="Heading2"/>
      </w:pPr>
      <w:r>
        <w:t xml:space="preserve">Infektioner i spottkörtlar och </w:t>
      </w:r>
      <w:proofErr w:type="spellStart"/>
      <w:r>
        <w:t>lymfoida</w:t>
      </w:r>
      <w:proofErr w:type="spellEnd"/>
      <w:r>
        <w:t xml:space="preserve"> vävnader</w:t>
      </w:r>
    </w:p>
    <w:p w:rsidR="00571F6F" w:rsidRPr="00EA6E22" w:rsidRDefault="00571F6F" w:rsidP="00571F6F">
      <w:pPr>
        <w:pStyle w:val="Heading3"/>
      </w:pPr>
      <w:r>
        <w:t>Tularemi</w:t>
      </w:r>
    </w:p>
    <w:p w:rsidR="00571F6F" w:rsidRDefault="00571F6F" w:rsidP="00571F6F">
      <w:pPr>
        <w:pStyle w:val="NoSpacing"/>
      </w:pPr>
      <w:r>
        <w:t xml:space="preserve">Etiologi: bett av smittad mygga (eller fästning), direktkontakt med sjuka djur (smågnagare, harar), inandning av partiklar förorenade med djurs avföring, intag av smittat vatten eller föda. </w:t>
      </w:r>
    </w:p>
    <w:p w:rsidR="00571F6F" w:rsidRDefault="00571F6F" w:rsidP="00571F6F">
      <w:pPr>
        <w:pStyle w:val="NoSpacing"/>
      </w:pPr>
      <w:r>
        <w:t xml:space="preserve">Agens: </w:t>
      </w:r>
      <w:proofErr w:type="spellStart"/>
      <w:r>
        <w:t>Francisella</w:t>
      </w:r>
      <w:proofErr w:type="spellEnd"/>
      <w:r>
        <w:t xml:space="preserve"> </w:t>
      </w:r>
      <w:proofErr w:type="spellStart"/>
      <w:r>
        <w:t>tularensis</w:t>
      </w:r>
      <w:proofErr w:type="spellEnd"/>
      <w:r>
        <w:t>.</w:t>
      </w:r>
    </w:p>
    <w:p w:rsidR="00571F6F" w:rsidRDefault="00571F6F" w:rsidP="00571F6F">
      <w:pPr>
        <w:pStyle w:val="NoSpacing"/>
      </w:pPr>
      <w:r>
        <w:t>Symtom: hög feber, huvudvärk, illamående, sår och regional lymfadenit [ömma lymfkörtlar] (vid utebliven antibiotikabehandling kan körtlarna förstoras till storleken av hönsägg).</w:t>
      </w:r>
    </w:p>
    <w:p w:rsidR="00571F6F" w:rsidRDefault="00571F6F" w:rsidP="00571F6F">
      <w:pPr>
        <w:pStyle w:val="NoSpacing"/>
      </w:pPr>
      <w:r>
        <w:t>Diagnos: serologi (</w:t>
      </w:r>
      <w:proofErr w:type="gramStart"/>
      <w:r>
        <w:t>ej</w:t>
      </w:r>
      <w:proofErr w:type="gramEnd"/>
      <w:r>
        <w:t xml:space="preserve"> detekterbar förrän efter 14 dagar med symtom)</w:t>
      </w:r>
    </w:p>
    <w:p w:rsidR="00571F6F" w:rsidRDefault="00571F6F" w:rsidP="00571F6F">
      <w:pPr>
        <w:pStyle w:val="NoSpacing"/>
      </w:pPr>
      <w:r>
        <w:t xml:space="preserve">Undersökning: PCR från såret, sårodling (sällan positivt, misstanke om tularemi måste anges på remissen och odling ska ske på </w:t>
      </w:r>
      <w:proofErr w:type="spellStart"/>
      <w:r>
        <w:t>högrisklab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risk för laboratoriesmitta).</w:t>
      </w:r>
    </w:p>
    <w:p w:rsidR="00571F6F" w:rsidRDefault="00571F6F" w:rsidP="00571F6F">
      <w:pPr>
        <w:pStyle w:val="NoSpacing"/>
      </w:pPr>
      <w:r w:rsidRPr="00A57444">
        <w:t xml:space="preserve">Behandling: </w:t>
      </w:r>
      <w:proofErr w:type="spellStart"/>
      <w:r w:rsidRPr="004842EB">
        <w:t>Ciproflo</w:t>
      </w:r>
      <w:r w:rsidRPr="00A57444">
        <w:t>xacin</w:t>
      </w:r>
      <w:proofErr w:type="spellEnd"/>
      <w:r>
        <w:t>.</w:t>
      </w:r>
    </w:p>
    <w:p w:rsidR="00571F6F" w:rsidRDefault="00571F6F" w:rsidP="00571F6F">
      <w:pPr>
        <w:pStyle w:val="NoSpacing"/>
      </w:pPr>
    </w:p>
    <w:p w:rsidR="00A71D04" w:rsidRDefault="00A71D04" w:rsidP="00A71D04">
      <w:pPr>
        <w:pStyle w:val="Heading3"/>
      </w:pPr>
      <w:proofErr w:type="spellStart"/>
      <w:r>
        <w:t>Tonsilit</w:t>
      </w:r>
      <w:proofErr w:type="spellEnd"/>
      <w:r>
        <w:t>/halsfluss</w:t>
      </w:r>
    </w:p>
    <w:p w:rsidR="00A71D04" w:rsidRDefault="00A71D04" w:rsidP="00A71D04">
      <w:pPr>
        <w:pStyle w:val="NoSpacing"/>
      </w:pPr>
      <w:r>
        <w:t>Etiologi: Grupp A-streptokock</w:t>
      </w:r>
      <w:r w:rsidR="00FD1F19">
        <w:t xml:space="preserve"> (GAS)</w:t>
      </w:r>
      <w:r>
        <w:t>.</w:t>
      </w:r>
    </w:p>
    <w:p w:rsidR="00FD1F19" w:rsidRDefault="00FD1F19" w:rsidP="00A71D04">
      <w:pPr>
        <w:pStyle w:val="NoSpacing"/>
      </w:pPr>
      <w:r>
        <w:t xml:space="preserve">Lab: </w:t>
      </w:r>
      <w:proofErr w:type="spellStart"/>
      <w:r>
        <w:t>leukocytos</w:t>
      </w:r>
      <w:proofErr w:type="spellEnd"/>
      <w:r>
        <w:t xml:space="preserve"> med granulocytdominans.</w:t>
      </w:r>
    </w:p>
    <w:p w:rsidR="00FD1F19" w:rsidRDefault="00FD1F19" w:rsidP="00A71D04">
      <w:pPr>
        <w:pStyle w:val="NoSpacing"/>
      </w:pPr>
      <w:r>
        <w:t>Diagnos: svalgodling/</w:t>
      </w:r>
      <w:proofErr w:type="spellStart"/>
      <w:r>
        <w:t>strep</w:t>
      </w:r>
      <w:proofErr w:type="spellEnd"/>
      <w:r>
        <w:t>-A-test</w:t>
      </w:r>
    </w:p>
    <w:p w:rsidR="00A71D04" w:rsidRDefault="00A71D04" w:rsidP="00A71D04">
      <w:pPr>
        <w:pStyle w:val="NoSpacing"/>
      </w:pPr>
      <w:r>
        <w:t xml:space="preserve">Behandling: </w:t>
      </w:r>
      <w:proofErr w:type="spellStart"/>
      <w:r>
        <w:t>PcV</w:t>
      </w:r>
      <w:proofErr w:type="spellEnd"/>
      <w:r>
        <w:t xml:space="preserve">. Vid anamnes på trolig pc-allergi med utbredd </w:t>
      </w:r>
      <w:proofErr w:type="spellStart"/>
      <w:r>
        <w:t>urtikaria</w:t>
      </w:r>
      <w:proofErr w:type="spellEnd"/>
      <w:r>
        <w:t xml:space="preserve"> eller a</w:t>
      </w:r>
      <w:r w:rsidR="004B0C80">
        <w:t xml:space="preserve">ndningspåverkan ges </w:t>
      </w:r>
      <w:proofErr w:type="spellStart"/>
      <w:r w:rsidR="004B0C80">
        <w:t>klindamycin</w:t>
      </w:r>
      <w:proofErr w:type="spellEnd"/>
      <w:r w:rsidR="004B0C80">
        <w:t>.</w:t>
      </w:r>
    </w:p>
    <w:p w:rsidR="00FD1F19" w:rsidRDefault="00FD1F19" w:rsidP="00A71D04">
      <w:pPr>
        <w:pStyle w:val="NoSpacing"/>
      </w:pPr>
    </w:p>
    <w:p w:rsidR="00FD1F19" w:rsidRDefault="00FD1F19" w:rsidP="00A71D04">
      <w:pPr>
        <w:pStyle w:val="NoSpacing"/>
      </w:pPr>
      <w:r>
        <w:t>Etiologi: Epstein-Barr virus.</w:t>
      </w:r>
    </w:p>
    <w:p w:rsidR="00FD1F19" w:rsidRDefault="00FD1F19" w:rsidP="00A71D04">
      <w:pPr>
        <w:pStyle w:val="NoSpacing"/>
      </w:pPr>
      <w:r>
        <w:t xml:space="preserve">Lab: </w:t>
      </w:r>
      <w:proofErr w:type="spellStart"/>
      <w:r>
        <w:t>lymfocytos</w:t>
      </w:r>
      <w:proofErr w:type="spellEnd"/>
      <w:r>
        <w:t>, leverpåverkan med transaminasstegring.</w:t>
      </w:r>
    </w:p>
    <w:p w:rsidR="00A71D04" w:rsidRDefault="00FD1F19" w:rsidP="00A71D04">
      <w:pPr>
        <w:pStyle w:val="NoSpacing"/>
      </w:pPr>
      <w:r>
        <w:t>Diagnos: serologi</w:t>
      </w:r>
    </w:p>
    <w:p w:rsidR="00FD1F19" w:rsidRPr="00A71D04" w:rsidRDefault="00FD1F19" w:rsidP="00A71D04">
      <w:pPr>
        <w:pStyle w:val="NoSpacing"/>
      </w:pPr>
    </w:p>
    <w:p w:rsidR="00B45FB3" w:rsidRDefault="00B45FB3" w:rsidP="00B45FB3">
      <w:pPr>
        <w:pStyle w:val="Heading2"/>
      </w:pPr>
      <w:r>
        <w:t>Luftvägsinfektioner</w:t>
      </w:r>
    </w:p>
    <w:p w:rsidR="00BB687E" w:rsidRDefault="00B35076" w:rsidP="00BB687E">
      <w:pPr>
        <w:pStyle w:val="Heading3"/>
      </w:pPr>
      <w:r>
        <w:t>Akut bronkit</w:t>
      </w:r>
    </w:p>
    <w:p w:rsidR="00B35076" w:rsidRDefault="00B2343A" w:rsidP="00B35076">
      <w:pPr>
        <w:pStyle w:val="NoSpacing"/>
      </w:pPr>
      <w:r>
        <w:t>Etiolo</w:t>
      </w:r>
      <w:r w:rsidR="00A0527B">
        <w:t>g</w:t>
      </w:r>
      <w:r>
        <w:t>i: luftvägsvirus t.ex.</w:t>
      </w:r>
      <w:r w:rsidR="00B35076">
        <w:t xml:space="preserve"> </w:t>
      </w:r>
      <w:proofErr w:type="spellStart"/>
      <w:r w:rsidR="00B35076">
        <w:t>rino</w:t>
      </w:r>
      <w:proofErr w:type="spellEnd"/>
      <w:r>
        <w:t>-</w:t>
      </w:r>
      <w:r w:rsidR="00B35076">
        <w:t xml:space="preserve">, </w:t>
      </w:r>
      <w:proofErr w:type="spellStart"/>
      <w:r w:rsidR="00B35076">
        <w:t>corona</w:t>
      </w:r>
      <w:proofErr w:type="spellEnd"/>
      <w:r>
        <w:t>-</w:t>
      </w:r>
      <w:r w:rsidR="00B35076">
        <w:t>, influensavirus.</w:t>
      </w:r>
    </w:p>
    <w:p w:rsidR="00B35076" w:rsidRDefault="00B35076" w:rsidP="00B35076">
      <w:pPr>
        <w:pStyle w:val="NoSpacing"/>
      </w:pPr>
      <w:r>
        <w:t>Lungröntgen definitionsmässigt normal.</w:t>
      </w:r>
    </w:p>
    <w:p w:rsidR="00B35076" w:rsidRDefault="00B35076" w:rsidP="00B35076">
      <w:pPr>
        <w:pStyle w:val="NoSpacing"/>
      </w:pPr>
      <w:r>
        <w:t>Symtomatisk behandling.</w:t>
      </w:r>
    </w:p>
    <w:p w:rsidR="00B35076" w:rsidRDefault="00B35076" w:rsidP="00B35076">
      <w:pPr>
        <w:pStyle w:val="NoSpacing"/>
      </w:pPr>
    </w:p>
    <w:p w:rsidR="00FD1F19" w:rsidRDefault="00FD1F19" w:rsidP="00FD1F19">
      <w:pPr>
        <w:pStyle w:val="Heading3"/>
      </w:pPr>
      <w:r>
        <w:t>Influensa</w:t>
      </w:r>
    </w:p>
    <w:p w:rsidR="0070720A" w:rsidRDefault="0070720A" w:rsidP="0070720A">
      <w:pPr>
        <w:pStyle w:val="NoSpacing"/>
      </w:pPr>
      <w:r>
        <w:t>Klinik: plötsligt insjuknande, hög feber, huvudvärk, muskelvärk, torrhost</w:t>
      </w:r>
      <w:r w:rsidR="0082748E">
        <w:t>a</w:t>
      </w:r>
      <w:r>
        <w:t>, uttalad sjukdomskänsla, smärtor bakom bröstbenet.</w:t>
      </w:r>
    </w:p>
    <w:p w:rsidR="0070720A" w:rsidRDefault="0070720A" w:rsidP="0070720A">
      <w:pPr>
        <w:pStyle w:val="NoSpacing"/>
      </w:pPr>
      <w:r>
        <w:t>Undersökning: PCR på NPH.</w:t>
      </w:r>
    </w:p>
    <w:p w:rsidR="00FD1F19" w:rsidRPr="00FD1F19" w:rsidRDefault="002A4C41" w:rsidP="0070720A">
      <w:pPr>
        <w:pStyle w:val="NoSpacing"/>
      </w:pPr>
      <w:r>
        <w:t xml:space="preserve">Behandling: </w:t>
      </w:r>
      <w:proofErr w:type="spellStart"/>
      <w:r>
        <w:t>oselta</w:t>
      </w:r>
      <w:r w:rsidR="007D64CF">
        <w:t>mivir</w:t>
      </w:r>
      <w:proofErr w:type="spellEnd"/>
      <w:r w:rsidR="00C26DA1">
        <w:t xml:space="preserve"> (</w:t>
      </w:r>
      <w:proofErr w:type="spellStart"/>
      <w:r w:rsidR="00C26DA1">
        <w:t>tamiflu</w:t>
      </w:r>
      <w:proofErr w:type="spellEnd"/>
      <w:r w:rsidR="00C26DA1">
        <w:t xml:space="preserve"> = </w:t>
      </w:r>
      <w:proofErr w:type="spellStart"/>
      <w:r w:rsidR="00C26DA1">
        <w:t>neuraminidashämmar</w:t>
      </w:r>
      <w:r>
        <w:t>e</w:t>
      </w:r>
      <w:proofErr w:type="spellEnd"/>
      <w:r w:rsidR="00C26DA1">
        <w:t>)</w:t>
      </w:r>
      <w:r w:rsidR="007D64CF">
        <w:t xml:space="preserve"> alt </w:t>
      </w:r>
      <w:proofErr w:type="spellStart"/>
      <w:r w:rsidR="007D64CF">
        <w:t>zana-mivir</w:t>
      </w:r>
      <w:proofErr w:type="spellEnd"/>
      <w:r w:rsidR="007D64CF">
        <w:t xml:space="preserve"> inom 48 timmar ger 1-2 dagars reduktion av sjukdomsförloppet</w:t>
      </w:r>
    </w:p>
    <w:p w:rsidR="00FD1F19" w:rsidRPr="00B35076" w:rsidRDefault="00FD1F19" w:rsidP="0070720A">
      <w:pPr>
        <w:pStyle w:val="NoSpacing"/>
      </w:pPr>
    </w:p>
    <w:p w:rsidR="00F350F2" w:rsidRDefault="00F350F2" w:rsidP="00B45FB3">
      <w:pPr>
        <w:pStyle w:val="Heading3"/>
      </w:pPr>
      <w:r>
        <w:t>Pneumoni</w:t>
      </w:r>
    </w:p>
    <w:p w:rsidR="00F350F2" w:rsidRDefault="00F350F2" w:rsidP="00F350F2">
      <w:pPr>
        <w:pStyle w:val="NoSpacing"/>
      </w:pPr>
      <w:r w:rsidRPr="00753D51">
        <w:t>Symtom/Kliniska fynd: Feber, hosta, trötthet, AF&gt;20, HF&gt;120, andningskorrelerad bröstsmärta, dämpning</w:t>
      </w:r>
      <w:r>
        <w:t>.</w:t>
      </w:r>
    </w:p>
    <w:p w:rsidR="00F350F2" w:rsidRPr="00F350F2" w:rsidRDefault="00F350F2" w:rsidP="00F350F2">
      <w:pPr>
        <w:pStyle w:val="NoSpacing"/>
      </w:pPr>
    </w:p>
    <w:p w:rsidR="00B45FB3" w:rsidRDefault="00B45FB3" w:rsidP="00F350F2">
      <w:pPr>
        <w:pStyle w:val="Heading4"/>
      </w:pPr>
      <w:r>
        <w:t>Samhällsförvärvad pneumoni</w:t>
      </w:r>
    </w:p>
    <w:p w:rsidR="00F350F2" w:rsidRDefault="00F350F2" w:rsidP="00B45FB3">
      <w:pPr>
        <w:pStyle w:val="NoSpacing"/>
      </w:pPr>
      <w:r>
        <w:t>Etiologi: Pneumokocker</w:t>
      </w:r>
    </w:p>
    <w:p w:rsidR="00F350F2" w:rsidRDefault="00F350F2" w:rsidP="00B45FB3">
      <w:pPr>
        <w:pStyle w:val="NoSpacing"/>
      </w:pPr>
      <w:r>
        <w:t>Symtom: akut insjuknande, frossa, feber</w:t>
      </w:r>
    </w:p>
    <w:p w:rsidR="00F350F2" w:rsidRDefault="00F350F2" w:rsidP="00B45FB3">
      <w:pPr>
        <w:pStyle w:val="NoSpacing"/>
      </w:pPr>
      <w:r>
        <w:t xml:space="preserve">Klinik: </w:t>
      </w:r>
      <w:r w:rsidRPr="00753D51">
        <w:t>andning</w:t>
      </w:r>
      <w:r>
        <w:t>skorrelerad lateral bröstsmärta</w:t>
      </w:r>
      <w:r w:rsidRPr="00753D51">
        <w:t>, högt LPK, högt CRP.</w:t>
      </w:r>
    </w:p>
    <w:p w:rsidR="000519A0" w:rsidRDefault="000519A0" w:rsidP="00B45FB3">
      <w:pPr>
        <w:pStyle w:val="NoSpacing"/>
      </w:pPr>
      <w:r>
        <w:lastRenderedPageBreak/>
        <w:t xml:space="preserve">Undersökning: </w:t>
      </w:r>
      <w:proofErr w:type="spellStart"/>
      <w:r>
        <w:t>Sputumodling</w:t>
      </w:r>
      <w:proofErr w:type="spellEnd"/>
      <w:r>
        <w:t>, blododling</w:t>
      </w:r>
      <w:r w:rsidR="007D64CF">
        <w:t xml:space="preserve"> x2</w:t>
      </w:r>
      <w:r>
        <w:t xml:space="preserve">, </w:t>
      </w:r>
      <w:r w:rsidR="007D64CF">
        <w:t>urin</w:t>
      </w:r>
      <w:r>
        <w:t xml:space="preserve">antigen </w:t>
      </w:r>
      <w:r w:rsidR="007D64CF">
        <w:t>för p</w:t>
      </w:r>
      <w:r>
        <w:t>n</w:t>
      </w:r>
      <w:r w:rsidR="007D64CF">
        <w:t>eumokocker</w:t>
      </w:r>
    </w:p>
    <w:p w:rsidR="00EF0B61" w:rsidRDefault="00B45FB3" w:rsidP="00B45FB3">
      <w:pPr>
        <w:pStyle w:val="NoSpacing"/>
      </w:pPr>
      <w:r>
        <w:t xml:space="preserve">Behandling: </w:t>
      </w:r>
      <w:proofErr w:type="spellStart"/>
      <w:r>
        <w:t>PcV</w:t>
      </w:r>
      <w:proofErr w:type="spellEnd"/>
      <w:r w:rsidR="00EF0B61">
        <w:t xml:space="preserve"> 1gx3</w:t>
      </w:r>
      <w:r>
        <w:t xml:space="preserve"> </w:t>
      </w:r>
      <w:r w:rsidR="00E948C7">
        <w:t xml:space="preserve">7-10 dagar </w:t>
      </w:r>
      <w:r>
        <w:t>(öppenvård)</w:t>
      </w:r>
      <w:r w:rsidR="00EF0B61">
        <w:t>, (</w:t>
      </w:r>
      <w:proofErr w:type="spellStart"/>
      <w:r w:rsidR="00EF0B61">
        <w:t>PcV</w:t>
      </w:r>
      <w:proofErr w:type="spellEnd"/>
      <w:r w:rsidR="00EF0B61">
        <w:t xml:space="preserve"> har kort halveringstid och tiden över MIC avgörande för behandlingseffekt, varför man ger 1x3 och inte 2x2)</w:t>
      </w:r>
    </w:p>
    <w:p w:rsidR="00B45FB3" w:rsidRDefault="00B45FB3" w:rsidP="00B45FB3">
      <w:pPr>
        <w:pStyle w:val="NoSpacing"/>
      </w:pPr>
      <w:proofErr w:type="spellStart"/>
      <w:r>
        <w:t>PcG</w:t>
      </w:r>
      <w:proofErr w:type="spellEnd"/>
      <w:r>
        <w:t xml:space="preserve"> (slutenvård)</w:t>
      </w:r>
      <w:r w:rsidR="00EF0B61">
        <w:t>.</w:t>
      </w:r>
    </w:p>
    <w:p w:rsidR="00B45FB3" w:rsidRDefault="00B45FB3" w:rsidP="00B45FB3">
      <w:pPr>
        <w:pStyle w:val="NoSpacing"/>
      </w:pPr>
      <w:r>
        <w:t xml:space="preserve">Vid icke-allvarlig pneumoni och pc-allergi: </w:t>
      </w:r>
      <w:proofErr w:type="spellStart"/>
      <w:r>
        <w:t>klindamycin</w:t>
      </w:r>
      <w:proofErr w:type="spellEnd"/>
      <w:r>
        <w:t xml:space="preserve"> alt </w:t>
      </w:r>
      <w:proofErr w:type="spellStart"/>
      <w:r>
        <w:t>erytromycin</w:t>
      </w:r>
      <w:proofErr w:type="spellEnd"/>
      <w:r>
        <w:t xml:space="preserve"> alt </w:t>
      </w:r>
      <w:proofErr w:type="spellStart"/>
      <w:r>
        <w:t>doxycyklin</w:t>
      </w:r>
      <w:proofErr w:type="spellEnd"/>
    </w:p>
    <w:p w:rsidR="00EF0B61" w:rsidRPr="003721D5" w:rsidRDefault="00EF0B61" w:rsidP="00B45FB3">
      <w:pPr>
        <w:pStyle w:val="NoSpacing"/>
      </w:pPr>
    </w:p>
    <w:p w:rsidR="00F350F2" w:rsidRPr="00F350F2" w:rsidRDefault="00F350F2" w:rsidP="00F350F2">
      <w:pPr>
        <w:pStyle w:val="Heading4"/>
      </w:pPr>
      <w:proofErr w:type="spellStart"/>
      <w:r w:rsidRPr="00F350F2">
        <w:t>Legionella</w:t>
      </w:r>
      <w:proofErr w:type="spellEnd"/>
    </w:p>
    <w:p w:rsidR="005B5204" w:rsidRDefault="003C2448" w:rsidP="00B45FB3">
      <w:pPr>
        <w:pStyle w:val="NoSpacing"/>
      </w:pPr>
      <w:r>
        <w:t>Smitta</w:t>
      </w:r>
      <w:r w:rsidR="005B5204">
        <w:t xml:space="preserve">r </w:t>
      </w:r>
      <w:proofErr w:type="gramStart"/>
      <w:r w:rsidR="005B5204">
        <w:t>ej</w:t>
      </w:r>
      <w:proofErr w:type="gramEnd"/>
      <w:r w:rsidR="005B5204">
        <w:t xml:space="preserve"> mellan människor.</w:t>
      </w:r>
    </w:p>
    <w:p w:rsidR="00F350F2" w:rsidRDefault="005B5204" w:rsidP="00B45FB3">
      <w:pPr>
        <w:pStyle w:val="NoSpacing"/>
      </w:pPr>
      <w:r>
        <w:t>Symtom: pneumonisymtom ofta efter utlandsvistelse, bubbelpool, AC, kyltorn.</w:t>
      </w:r>
    </w:p>
    <w:p w:rsidR="005B5204" w:rsidRDefault="005B5204" w:rsidP="00B45FB3">
      <w:pPr>
        <w:pStyle w:val="NoSpacing"/>
      </w:pPr>
      <w:r>
        <w:t>Klinik: feber, hosta, hållsmärta, ofta konfusion, buksmärta, diarré.</w:t>
      </w:r>
    </w:p>
    <w:p w:rsidR="00F3224B" w:rsidRDefault="00F3224B" w:rsidP="00B45FB3">
      <w:pPr>
        <w:pStyle w:val="NoSpacing"/>
      </w:pPr>
      <w:r>
        <w:t xml:space="preserve">Undersökning: </w:t>
      </w:r>
      <w:proofErr w:type="spellStart"/>
      <w:r>
        <w:t>Sputumodling</w:t>
      </w:r>
      <w:proofErr w:type="spellEnd"/>
      <w:r>
        <w:t xml:space="preserve">, </w:t>
      </w:r>
      <w:proofErr w:type="spellStart"/>
      <w:r>
        <w:t>legionellaantigen</w:t>
      </w:r>
      <w:proofErr w:type="spellEnd"/>
      <w:r>
        <w:t xml:space="preserve"> i urin och </w:t>
      </w:r>
      <w:proofErr w:type="spellStart"/>
      <w:r>
        <w:t>sputum</w:t>
      </w:r>
      <w:proofErr w:type="spellEnd"/>
    </w:p>
    <w:p w:rsidR="00EA5480" w:rsidRPr="00EA5480" w:rsidRDefault="00EA5480" w:rsidP="00EA5480">
      <w:pPr>
        <w:pStyle w:val="NoSpacing"/>
      </w:pPr>
      <w:r w:rsidRPr="00EA5480">
        <w:t xml:space="preserve">Behandling: </w:t>
      </w:r>
      <w:proofErr w:type="spellStart"/>
      <w:r w:rsidRPr="00EA5480">
        <w:t>Kinolon</w:t>
      </w:r>
      <w:proofErr w:type="spellEnd"/>
      <w:r w:rsidRPr="00EA5480">
        <w:t xml:space="preserve"> (</w:t>
      </w:r>
      <w:proofErr w:type="spellStart"/>
      <w:r w:rsidRPr="00EA5480">
        <w:t>levofloxacin</w:t>
      </w:r>
      <w:proofErr w:type="spellEnd"/>
      <w:r>
        <w:t>/</w:t>
      </w:r>
      <w:proofErr w:type="spellStart"/>
      <w:r w:rsidRPr="00EA5480">
        <w:t>moxifloxacin</w:t>
      </w:r>
      <w:proofErr w:type="spellEnd"/>
      <w:r w:rsidRPr="00EA5480">
        <w:t xml:space="preserve">) </w:t>
      </w:r>
      <w:r w:rsidRPr="00EA5480">
        <w:rPr>
          <w:u w:val="single"/>
        </w:rPr>
        <w:t>alt</w:t>
      </w:r>
      <w:r w:rsidRPr="00EA5480">
        <w:t xml:space="preserve"> makrolid (</w:t>
      </w:r>
      <w:proofErr w:type="spellStart"/>
      <w:r w:rsidRPr="00EA5480">
        <w:t>azitromycin</w:t>
      </w:r>
      <w:proofErr w:type="spellEnd"/>
      <w:r w:rsidRPr="00EA5480">
        <w:t xml:space="preserve">) </w:t>
      </w:r>
    </w:p>
    <w:p w:rsidR="00F350F2" w:rsidRDefault="00F350F2" w:rsidP="00B45FB3">
      <w:pPr>
        <w:pStyle w:val="NoSpacing"/>
      </w:pPr>
    </w:p>
    <w:p w:rsidR="00D902C7" w:rsidRDefault="00D902C7" w:rsidP="00D902C7">
      <w:pPr>
        <w:pStyle w:val="Heading4"/>
      </w:pPr>
      <w:proofErr w:type="spellStart"/>
      <w:r>
        <w:t>Mykoplasma</w:t>
      </w:r>
      <w:proofErr w:type="spellEnd"/>
      <w:r>
        <w:t xml:space="preserve"> </w:t>
      </w:r>
      <w:proofErr w:type="spellStart"/>
      <w:r>
        <w:t>pneumoniae</w:t>
      </w:r>
      <w:proofErr w:type="spellEnd"/>
    </w:p>
    <w:p w:rsidR="00571F6F" w:rsidRDefault="00571F6F" w:rsidP="00D902C7">
      <w:pPr>
        <w:pStyle w:val="NoSpacing"/>
      </w:pPr>
      <w:r>
        <w:t>Smittar mellan människor.</w:t>
      </w:r>
      <w:r w:rsidR="00FB662F">
        <w:t xml:space="preserve"> Isolering.</w:t>
      </w:r>
    </w:p>
    <w:p w:rsidR="00D902C7" w:rsidRDefault="00D902C7" w:rsidP="00D902C7">
      <w:pPr>
        <w:pStyle w:val="NoSpacing"/>
      </w:pPr>
      <w:r>
        <w:t>Klinik: långsamt insjuknande, lång</w:t>
      </w:r>
      <w:r w:rsidR="0092230E">
        <w:t>dragen torrhosta, måttlig feber, huvudvärk</w:t>
      </w:r>
    </w:p>
    <w:p w:rsidR="004F7966" w:rsidRDefault="004F7966" w:rsidP="00D902C7">
      <w:pPr>
        <w:pStyle w:val="NoSpacing"/>
      </w:pPr>
      <w:r>
        <w:t>Undersökning: Lungröntgen visar spridda infiltrat bilateralt.</w:t>
      </w:r>
    </w:p>
    <w:p w:rsidR="0092230E" w:rsidRDefault="00814E9F" w:rsidP="00D902C7">
      <w:pPr>
        <w:pStyle w:val="NoSpacing"/>
      </w:pPr>
      <w:r>
        <w:t xml:space="preserve">Diagnos: </w:t>
      </w:r>
      <w:proofErr w:type="spellStart"/>
      <w:r>
        <w:t>Mykoplasma</w:t>
      </w:r>
      <w:proofErr w:type="spellEnd"/>
      <w:r>
        <w:t xml:space="preserve">-PCR </w:t>
      </w:r>
      <w:proofErr w:type="spellStart"/>
      <w:r>
        <w:t>sputum</w:t>
      </w:r>
      <w:proofErr w:type="spellEnd"/>
    </w:p>
    <w:p w:rsidR="00F14B01" w:rsidRDefault="00F14B01" w:rsidP="00D902C7">
      <w:pPr>
        <w:pStyle w:val="NoSpacing"/>
      </w:pPr>
      <w:r>
        <w:t xml:space="preserve">Behandling: </w:t>
      </w:r>
      <w:proofErr w:type="spellStart"/>
      <w:r>
        <w:t>Doxycyklin</w:t>
      </w:r>
      <w:proofErr w:type="spellEnd"/>
      <w:r>
        <w:t xml:space="preserve"> alt makrolid</w:t>
      </w:r>
      <w:r w:rsidR="00FB662F">
        <w:t xml:space="preserve"> alt </w:t>
      </w:r>
      <w:proofErr w:type="spellStart"/>
      <w:r w:rsidR="00FB662F">
        <w:t>kinolon</w:t>
      </w:r>
      <w:proofErr w:type="spellEnd"/>
    </w:p>
    <w:p w:rsidR="00F14B01" w:rsidRDefault="00F14B01" w:rsidP="00D902C7">
      <w:pPr>
        <w:pStyle w:val="NoSpacing"/>
      </w:pPr>
    </w:p>
    <w:p w:rsidR="008A4EDD" w:rsidRPr="008A4EDD" w:rsidRDefault="008A4EDD" w:rsidP="008A4EDD">
      <w:pPr>
        <w:pStyle w:val="Heading4"/>
      </w:pPr>
      <w:r w:rsidRPr="008A4EDD">
        <w:t>CRB-65</w:t>
      </w:r>
    </w:p>
    <w:p w:rsidR="008A4EDD" w:rsidRDefault="008A4EDD" w:rsidP="008A4EDD">
      <w:pPr>
        <w:pStyle w:val="NoSpacing"/>
      </w:pPr>
      <w:r>
        <w:t>Pneumoniscore:</w:t>
      </w:r>
    </w:p>
    <w:p w:rsidR="008A4EDD" w:rsidRDefault="000519A0" w:rsidP="008A4EDD">
      <w:pPr>
        <w:pStyle w:val="NoSpacing"/>
      </w:pPr>
      <w:r>
        <w:t>Nytillkommen konfusion, AF</w:t>
      </w:r>
      <w:r w:rsidR="008A4EDD">
        <w:t>&gt;30, hypotoni, &gt;65 år. 1 p var.</w:t>
      </w:r>
    </w:p>
    <w:p w:rsidR="008A4EDD" w:rsidRPr="008A4EDD" w:rsidRDefault="008A4EDD" w:rsidP="008A4EDD">
      <w:pPr>
        <w:pStyle w:val="NoSpacing"/>
      </w:pPr>
      <w:r>
        <w:t>0 p = hembehandling, 1 p = Sjukhusvård/öppenvård med uppföljning, 2 p = sjukhusvård, 3-4 p = sjukhusvård, överväg IVA</w:t>
      </w:r>
    </w:p>
    <w:p w:rsidR="008A4EDD" w:rsidRDefault="008A4EDD" w:rsidP="00B45FB3">
      <w:pPr>
        <w:pStyle w:val="NoSpacing"/>
      </w:pPr>
    </w:p>
    <w:p w:rsidR="00193C7B" w:rsidRDefault="00193C7B" w:rsidP="00193C7B">
      <w:pPr>
        <w:pStyle w:val="Heading3"/>
      </w:pPr>
      <w:r>
        <w:t>Sinuit</w:t>
      </w:r>
    </w:p>
    <w:p w:rsidR="00193C7B" w:rsidRDefault="00193C7B" w:rsidP="00193C7B">
      <w:pPr>
        <w:pStyle w:val="NoSpacing"/>
      </w:pPr>
      <w:r w:rsidRPr="00193C7B">
        <w:t xml:space="preserve">Etiologi: </w:t>
      </w:r>
      <w:r>
        <w:t xml:space="preserve">Pneumokocker, </w:t>
      </w:r>
      <w:r w:rsidRPr="00193C7B">
        <w:t xml:space="preserve">H. </w:t>
      </w:r>
      <w:proofErr w:type="spellStart"/>
      <w:r w:rsidRPr="00193C7B">
        <w:t>influenzae</w:t>
      </w:r>
      <w:proofErr w:type="spellEnd"/>
      <w:r>
        <w:t>.</w:t>
      </w:r>
    </w:p>
    <w:p w:rsidR="00193C7B" w:rsidRDefault="00193C7B" w:rsidP="00193C7B">
      <w:pPr>
        <w:pStyle w:val="NoSpacing"/>
      </w:pPr>
      <w:r>
        <w:t xml:space="preserve">Behandling: </w:t>
      </w:r>
      <w:proofErr w:type="spellStart"/>
      <w:r>
        <w:t>PcV</w:t>
      </w:r>
      <w:proofErr w:type="spellEnd"/>
    </w:p>
    <w:p w:rsidR="00193C7B" w:rsidRPr="00193C7B" w:rsidRDefault="00193C7B" w:rsidP="00193C7B">
      <w:pPr>
        <w:pStyle w:val="NoSpacing"/>
      </w:pPr>
    </w:p>
    <w:p w:rsidR="00EB55AA" w:rsidRDefault="00EB55AA" w:rsidP="00EB55AA">
      <w:pPr>
        <w:pStyle w:val="Heading2"/>
      </w:pPr>
      <w:r>
        <w:t xml:space="preserve">Herpes-, </w:t>
      </w:r>
      <w:proofErr w:type="spellStart"/>
      <w:r>
        <w:t>adeno</w:t>
      </w:r>
      <w:proofErr w:type="spellEnd"/>
      <w:r>
        <w:t>- och enterovirusinfektioner</w:t>
      </w:r>
    </w:p>
    <w:p w:rsidR="00EB55AA" w:rsidRPr="00665EA7" w:rsidRDefault="00EB55AA" w:rsidP="00EB55AA">
      <w:pPr>
        <w:pStyle w:val="Heading3"/>
      </w:pPr>
      <w:proofErr w:type="spellStart"/>
      <w:r>
        <w:t>Varicella-zostervirus</w:t>
      </w:r>
      <w:proofErr w:type="spellEnd"/>
      <w:r w:rsidR="00BD16F5">
        <w:t xml:space="preserve"> (bältros)</w:t>
      </w:r>
    </w:p>
    <w:p w:rsidR="00EB55AA" w:rsidRDefault="00EB55AA" w:rsidP="00EB55AA">
      <w:pPr>
        <w:pStyle w:val="NoSpacing"/>
      </w:pPr>
      <w:r>
        <w:t>Symtom: smärta, feber, lätt AT-påverkan, blåsor.</w:t>
      </w:r>
    </w:p>
    <w:p w:rsidR="00EB55AA" w:rsidRDefault="00EB55AA" w:rsidP="00EB55AA">
      <w:pPr>
        <w:pStyle w:val="NoSpacing"/>
      </w:pPr>
      <w:r>
        <w:t>Utredning: PCR från blåsskrapan.</w:t>
      </w:r>
    </w:p>
    <w:p w:rsidR="00193C7B" w:rsidRDefault="00EB55AA" w:rsidP="00EB55AA">
      <w:pPr>
        <w:pStyle w:val="NoSpacing"/>
      </w:pPr>
      <w:r>
        <w:t xml:space="preserve">Behandling: </w:t>
      </w:r>
      <w:proofErr w:type="spellStart"/>
      <w:r w:rsidR="00BD16F5">
        <w:t>Valaciklovir</w:t>
      </w:r>
      <w:proofErr w:type="spellEnd"/>
      <w:r w:rsidR="00BD16F5">
        <w:t>/</w:t>
      </w:r>
      <w:proofErr w:type="spellStart"/>
      <w:r w:rsidR="00BD16F5">
        <w:t>aciklovir</w:t>
      </w:r>
      <w:proofErr w:type="spellEnd"/>
      <w:r w:rsidR="00BD16F5">
        <w:t xml:space="preserve"> </w:t>
      </w:r>
      <w:proofErr w:type="spellStart"/>
      <w:r w:rsidR="00BD16F5">
        <w:t>po</w:t>
      </w:r>
      <w:proofErr w:type="spellEnd"/>
      <w:r w:rsidR="00BD16F5">
        <w:t xml:space="preserve">. </w:t>
      </w:r>
    </w:p>
    <w:p w:rsidR="000B4B58" w:rsidRDefault="000B4B58" w:rsidP="00EB55AA">
      <w:pPr>
        <w:pStyle w:val="NoSpacing"/>
      </w:pPr>
      <w:r>
        <w:t>Behandlingsindikation: Blåsdebut inom 72 timmar och en av följande:</w:t>
      </w:r>
    </w:p>
    <w:p w:rsidR="000B4B58" w:rsidRDefault="000B4B58" w:rsidP="00EB55AA">
      <w:pPr>
        <w:pStyle w:val="NoSpacing"/>
      </w:pPr>
      <w:proofErr w:type="spellStart"/>
      <w:r>
        <w:t>Immunsupprimerad</w:t>
      </w:r>
      <w:proofErr w:type="spellEnd"/>
      <w:r w:rsidR="00193C7B">
        <w:t>, &gt;50 år,</w:t>
      </w:r>
      <w:r>
        <w:t xml:space="preserve"> generaliserad </w:t>
      </w:r>
      <w:proofErr w:type="spellStart"/>
      <w:r>
        <w:t>zoster</w:t>
      </w:r>
      <w:proofErr w:type="spellEnd"/>
      <w:r>
        <w:t xml:space="preserve">, </w:t>
      </w:r>
      <w:proofErr w:type="spellStart"/>
      <w:r w:rsidR="00EB55AA">
        <w:t>zoster</w:t>
      </w:r>
      <w:proofErr w:type="spellEnd"/>
      <w:r w:rsidR="00EB55AA">
        <w:t xml:space="preserve"> </w:t>
      </w:r>
      <w:proofErr w:type="spellStart"/>
      <w:r w:rsidR="00EB55AA">
        <w:t>oftalmicus</w:t>
      </w:r>
      <w:proofErr w:type="spellEnd"/>
      <w:r>
        <w:t>.</w:t>
      </w:r>
    </w:p>
    <w:p w:rsidR="000B4B58" w:rsidRDefault="00BD16F5" w:rsidP="00EB55AA">
      <w:pPr>
        <w:pStyle w:val="NoSpacing"/>
      </w:pPr>
      <w:r>
        <w:t>Om kor</w:t>
      </w:r>
      <w:r w:rsidR="00193C7B">
        <w:t>t tid har passerat sedan symtom</w:t>
      </w:r>
      <w:r>
        <w:t>debut kan förloppet förkortas och smärtan förmildras om antiviral behandling ges.</w:t>
      </w:r>
    </w:p>
    <w:p w:rsidR="00BD16F5" w:rsidRDefault="00BD16F5" w:rsidP="00EB55AA">
      <w:pPr>
        <w:pStyle w:val="NoSpacing"/>
      </w:pPr>
      <w:r>
        <w:t xml:space="preserve">Komplikationer: </w:t>
      </w:r>
      <w:proofErr w:type="spellStart"/>
      <w:r>
        <w:t>Postherpetisk</w:t>
      </w:r>
      <w:proofErr w:type="spellEnd"/>
      <w:r>
        <w:t xml:space="preserve"> neuralgi. Bakteriell sekundärinfektio</w:t>
      </w:r>
      <w:r w:rsidR="004B0C80">
        <w:t>n.</w:t>
      </w:r>
    </w:p>
    <w:p w:rsidR="00EB55AA" w:rsidRDefault="00EB55AA" w:rsidP="00EB55AA">
      <w:pPr>
        <w:pStyle w:val="NoSpacing"/>
      </w:pPr>
    </w:p>
    <w:p w:rsidR="000B4B58" w:rsidRDefault="000B4B58" w:rsidP="000B4B58">
      <w:pPr>
        <w:pStyle w:val="NoSpacing"/>
      </w:pPr>
      <w:r>
        <w:t xml:space="preserve">Immunbrist (som efter cytostatikabehandling) kan ge generaliserad herpes </w:t>
      </w:r>
      <w:proofErr w:type="spellStart"/>
      <w:r>
        <w:t>zoster</w:t>
      </w:r>
      <w:proofErr w:type="spellEnd"/>
      <w:r>
        <w:t xml:space="preserve"> </w:t>
      </w:r>
      <w:proofErr w:type="gramStart"/>
      <w:r>
        <w:t>dvs</w:t>
      </w:r>
      <w:proofErr w:type="gramEnd"/>
      <w:r>
        <w:t xml:space="preserve"> </w:t>
      </w:r>
      <w:proofErr w:type="spellStart"/>
      <w:r>
        <w:t>vesikler</w:t>
      </w:r>
      <w:proofErr w:type="spellEnd"/>
      <w:r>
        <w:t xml:space="preserve"> som sprider sig generellt på kroppen utanför </w:t>
      </w:r>
      <w:proofErr w:type="spellStart"/>
      <w:r>
        <w:t>dermatomet</w:t>
      </w:r>
      <w:proofErr w:type="spellEnd"/>
      <w:r>
        <w:t xml:space="preserve">. </w:t>
      </w:r>
    </w:p>
    <w:p w:rsidR="000B4B58" w:rsidRDefault="000B4B58" w:rsidP="000B4B58">
      <w:pPr>
        <w:pStyle w:val="NoSpacing"/>
      </w:pPr>
      <w:r>
        <w:t>Vattkoppor medför immunitet mot bältros, som uppstår från eget latent virus.</w:t>
      </w:r>
    </w:p>
    <w:p w:rsidR="000B4B58" w:rsidRDefault="000B4B58" w:rsidP="000B4B58">
      <w:pPr>
        <w:pStyle w:val="NoSpacing"/>
      </w:pPr>
      <w:r>
        <w:t xml:space="preserve">Vattkoppor drabbar </w:t>
      </w:r>
      <w:proofErr w:type="spellStart"/>
      <w:r w:rsidRPr="00A90827">
        <w:rPr>
          <w:b/>
        </w:rPr>
        <w:t>sengravida</w:t>
      </w:r>
      <w:proofErr w:type="spellEnd"/>
      <w:r>
        <w:t xml:space="preserve"> och </w:t>
      </w:r>
      <w:proofErr w:type="spellStart"/>
      <w:r w:rsidRPr="00A90827">
        <w:rPr>
          <w:b/>
        </w:rPr>
        <w:t>immunsupprimerade</w:t>
      </w:r>
      <w:proofErr w:type="spellEnd"/>
      <w:r>
        <w:t xml:space="preserve"> svårast.</w:t>
      </w:r>
    </w:p>
    <w:p w:rsidR="00F14B01" w:rsidRDefault="00F14B01" w:rsidP="000B4B58">
      <w:pPr>
        <w:pStyle w:val="NoSpacing"/>
      </w:pPr>
      <w:r>
        <w:t>Låg risk för gravida att drabbas av VZV då &gt;90 procent är immuna/har haft vattkoppor.</w:t>
      </w:r>
    </w:p>
    <w:p w:rsidR="00F14B01" w:rsidRDefault="00F14B01" w:rsidP="000B4B58">
      <w:pPr>
        <w:pStyle w:val="NoSpacing"/>
      </w:pPr>
      <w:r>
        <w:t xml:space="preserve">Om mamman är icke-immun finns risk för neonatal infektion om mamman smittas strax före eller efter </w:t>
      </w:r>
      <w:proofErr w:type="spellStart"/>
      <w:r>
        <w:t>partus</w:t>
      </w:r>
      <w:proofErr w:type="spellEnd"/>
      <w:r>
        <w:t>.</w:t>
      </w:r>
    </w:p>
    <w:p w:rsidR="000B4B58" w:rsidRPr="00665EA7" w:rsidRDefault="000B4B58" w:rsidP="00EB55AA">
      <w:pPr>
        <w:pStyle w:val="NoSpacing"/>
      </w:pPr>
    </w:p>
    <w:p w:rsidR="00EB55AA" w:rsidRDefault="00EB55AA" w:rsidP="00EB55AA">
      <w:pPr>
        <w:pStyle w:val="Heading3"/>
      </w:pPr>
      <w:proofErr w:type="spellStart"/>
      <w:r>
        <w:lastRenderedPageBreak/>
        <w:t>Mononukleos</w:t>
      </w:r>
      <w:proofErr w:type="spellEnd"/>
    </w:p>
    <w:p w:rsidR="00EB55AA" w:rsidRDefault="00254094" w:rsidP="00EB55AA">
      <w:pPr>
        <w:pStyle w:val="NoSpacing"/>
      </w:pPr>
      <w:r>
        <w:t>Etiologi</w:t>
      </w:r>
      <w:r w:rsidR="00EB55AA">
        <w:t>: Epstein-Barr virus (EBV)</w:t>
      </w:r>
      <w:r>
        <w:t>. Överförs vira nära oral kontakt, salivkontakt.</w:t>
      </w:r>
    </w:p>
    <w:p w:rsidR="00EB55AA" w:rsidRDefault="00EB55AA" w:rsidP="00EB55AA">
      <w:pPr>
        <w:pStyle w:val="NoSpacing"/>
      </w:pPr>
      <w:r w:rsidRPr="00FF32F7">
        <w:t xml:space="preserve">Symtom: Feber (ofta hög, svängande, veckor) och uttalad trötthet, rikliga (natt)svettningar, </w:t>
      </w:r>
      <w:r w:rsidR="00254094">
        <w:t>huvudvärk, 4-7 veckors inkubationstid.</w:t>
      </w:r>
      <w:r w:rsidRPr="00FF32F7">
        <w:br/>
        <w:t xml:space="preserve">Kliniska fynd: kraftigt svullna tonsiller, halsont, tjocka gråvita beläggningar, illaluktande andedräkt, grötigt tal. Förstorade lymfkörtlar, </w:t>
      </w:r>
      <w:proofErr w:type="spellStart"/>
      <w:r w:rsidRPr="00FF32F7">
        <w:t>ffa</w:t>
      </w:r>
      <w:proofErr w:type="spellEnd"/>
      <w:r w:rsidRPr="00FF32F7">
        <w:t xml:space="preserve"> på halsen.</w:t>
      </w:r>
    </w:p>
    <w:p w:rsidR="00254094" w:rsidRPr="00FF32F7" w:rsidRDefault="00254094" w:rsidP="00EB55AA">
      <w:pPr>
        <w:pStyle w:val="NoSpacing"/>
      </w:pPr>
      <w:r>
        <w:t xml:space="preserve">Diagnos: serologi, </w:t>
      </w:r>
      <w:proofErr w:type="spellStart"/>
      <w:r>
        <w:t>monospot</w:t>
      </w:r>
      <w:proofErr w:type="spellEnd"/>
    </w:p>
    <w:p w:rsidR="00EB55AA" w:rsidRDefault="00EB55AA" w:rsidP="00EB55AA">
      <w:pPr>
        <w:pStyle w:val="NoSpacing"/>
      </w:pPr>
      <w:r>
        <w:t xml:space="preserve">Behandling: </w:t>
      </w:r>
      <w:r w:rsidR="00254094">
        <w:t>symtomatisk</w:t>
      </w:r>
      <w:r>
        <w:t>.</w:t>
      </w:r>
    </w:p>
    <w:p w:rsidR="00EB55AA" w:rsidRPr="0002468B" w:rsidRDefault="00EB55AA" w:rsidP="00EB55AA">
      <w:pPr>
        <w:pStyle w:val="NoSpacing"/>
      </w:pPr>
    </w:p>
    <w:p w:rsidR="001074FD" w:rsidRDefault="00EB55AA" w:rsidP="001074FD">
      <w:pPr>
        <w:pStyle w:val="Heading2"/>
      </w:pPr>
      <w:r>
        <w:t>Tarminfektioner</w:t>
      </w:r>
    </w:p>
    <w:p w:rsidR="0003283C" w:rsidRDefault="002E4AFC" w:rsidP="0003283C">
      <w:pPr>
        <w:pStyle w:val="Heading3"/>
      </w:pPr>
      <w:r>
        <w:t>Intorkning</w:t>
      </w:r>
    </w:p>
    <w:p w:rsidR="002E4AFC" w:rsidRDefault="002E4AFC" w:rsidP="002E4AFC">
      <w:pPr>
        <w:pStyle w:val="NoSpacing"/>
      </w:pPr>
      <w:r>
        <w:t>Anamnes: viktnedgång, minskande urinmängder, uttalad törst</w:t>
      </w:r>
    </w:p>
    <w:p w:rsidR="002E4AFC" w:rsidRDefault="002E4AFC" w:rsidP="002E4AFC">
      <w:pPr>
        <w:pStyle w:val="NoSpacing"/>
      </w:pPr>
      <w:r>
        <w:t xml:space="preserve">Status: nedsatt </w:t>
      </w:r>
      <w:proofErr w:type="spellStart"/>
      <w:r>
        <w:t>hudturgor</w:t>
      </w:r>
      <w:proofErr w:type="spellEnd"/>
      <w:r>
        <w:t>, torra slemhinnor</w:t>
      </w:r>
    </w:p>
    <w:p w:rsidR="002E4AFC" w:rsidRDefault="002E4AFC" w:rsidP="002E4AFC">
      <w:pPr>
        <w:pStyle w:val="NoSpacing"/>
      </w:pPr>
      <w:r>
        <w:t xml:space="preserve">Lab: Hb/EVF, </w:t>
      </w:r>
      <w:proofErr w:type="spellStart"/>
      <w:r>
        <w:t>kreastegring</w:t>
      </w:r>
      <w:proofErr w:type="spellEnd"/>
    </w:p>
    <w:p w:rsidR="002E4AFC" w:rsidRPr="002E4AFC" w:rsidRDefault="002E4AFC" w:rsidP="002E4AFC">
      <w:pPr>
        <w:pStyle w:val="NoSpacing"/>
      </w:pPr>
    </w:p>
    <w:p w:rsidR="00785BCF" w:rsidRDefault="00785BCF" w:rsidP="00785BCF">
      <w:pPr>
        <w:pStyle w:val="Heading3"/>
      </w:pPr>
      <w:r>
        <w:t xml:space="preserve">Viral </w:t>
      </w:r>
      <w:proofErr w:type="spellStart"/>
      <w:r>
        <w:t>gastroenterit</w:t>
      </w:r>
      <w:proofErr w:type="spellEnd"/>
    </w:p>
    <w:p w:rsidR="00785BCF" w:rsidRDefault="00785BCF" w:rsidP="00785BCF">
      <w:pPr>
        <w:pStyle w:val="NoSpacing"/>
      </w:pPr>
      <w:r>
        <w:t xml:space="preserve">Endemiska virus (rota-, </w:t>
      </w:r>
      <w:proofErr w:type="spellStart"/>
      <w:r>
        <w:t>enteriska</w:t>
      </w:r>
      <w:proofErr w:type="spellEnd"/>
      <w:r>
        <w:t xml:space="preserve"> adenovirus) drabbar </w:t>
      </w:r>
      <w:proofErr w:type="spellStart"/>
      <w:r>
        <w:t>ffa</w:t>
      </w:r>
      <w:proofErr w:type="spellEnd"/>
      <w:r>
        <w:t xml:space="preserve"> småbarn.</w:t>
      </w:r>
    </w:p>
    <w:p w:rsidR="00785BCF" w:rsidRDefault="00785BCF" w:rsidP="00785BCF">
      <w:pPr>
        <w:pStyle w:val="NoSpacing"/>
      </w:pPr>
      <w:r>
        <w:t>Epidemiska (</w:t>
      </w:r>
      <w:proofErr w:type="spellStart"/>
      <w:r>
        <w:t>calicivirus</w:t>
      </w:r>
      <w:proofErr w:type="spellEnd"/>
      <w:r>
        <w:t xml:space="preserve">) </w:t>
      </w:r>
      <w:proofErr w:type="spellStart"/>
      <w:r>
        <w:t>frabbar</w:t>
      </w:r>
      <w:proofErr w:type="spellEnd"/>
      <w:r>
        <w:t xml:space="preserve"> </w:t>
      </w:r>
      <w:proofErr w:type="spellStart"/>
      <w:r>
        <w:t>ffa</w:t>
      </w:r>
      <w:proofErr w:type="spellEnd"/>
      <w:r>
        <w:t xml:space="preserve"> äldre barn och vuxna.</w:t>
      </w:r>
    </w:p>
    <w:p w:rsidR="00785BCF" w:rsidRPr="00785BCF" w:rsidRDefault="00785BCF" w:rsidP="00785BCF">
      <w:pPr>
        <w:pStyle w:val="NoSpacing"/>
      </w:pPr>
    </w:p>
    <w:p w:rsidR="00080BFB" w:rsidRDefault="00080BFB" w:rsidP="00080BFB">
      <w:pPr>
        <w:pStyle w:val="Heading3"/>
      </w:pPr>
      <w:r>
        <w:t>Okomplicerade tarminfektioner</w:t>
      </w:r>
    </w:p>
    <w:p w:rsidR="004313CE" w:rsidRDefault="00080BFB" w:rsidP="00080BFB">
      <w:pPr>
        <w:pStyle w:val="NoSpacing"/>
      </w:pPr>
      <w:r>
        <w:t>Restriktiv antibiotikabehandling</w:t>
      </w:r>
      <w:r w:rsidR="00785BCF">
        <w:t xml:space="preserve"> för okomplicerade tarminfektioner</w:t>
      </w:r>
      <w:r w:rsidR="004313CE">
        <w:t xml:space="preserve"> </w:t>
      </w:r>
      <w:proofErr w:type="spellStart"/>
      <w:r w:rsidR="004313CE">
        <w:t>pga</w:t>
      </w:r>
      <w:proofErr w:type="spellEnd"/>
      <w:r w:rsidR="004313CE">
        <w:t xml:space="preserve"> </w:t>
      </w:r>
    </w:p>
    <w:p w:rsidR="004313CE" w:rsidRDefault="004313CE" w:rsidP="004313CE">
      <w:pPr>
        <w:pStyle w:val="NoSpacing"/>
        <w:numPr>
          <w:ilvl w:val="0"/>
          <w:numId w:val="1"/>
        </w:numPr>
      </w:pPr>
      <w:r>
        <w:t>marginell symtomeffekt</w:t>
      </w:r>
      <w:r w:rsidR="00080BFB">
        <w:t xml:space="preserve">, </w:t>
      </w:r>
    </w:p>
    <w:p w:rsidR="004313CE" w:rsidRDefault="00080BFB" w:rsidP="004313CE">
      <w:pPr>
        <w:pStyle w:val="NoSpacing"/>
        <w:numPr>
          <w:ilvl w:val="0"/>
          <w:numId w:val="1"/>
        </w:numPr>
      </w:pPr>
      <w:r>
        <w:t>ökad risk för resist</w:t>
      </w:r>
      <w:r w:rsidR="00785BCF">
        <w:t>ensutveckling</w:t>
      </w:r>
      <w:r w:rsidR="007D64CF">
        <w:t xml:space="preserve"> vid </w:t>
      </w:r>
      <w:proofErr w:type="spellStart"/>
      <w:r w:rsidR="007D64CF">
        <w:t>campylobacterinfektion</w:t>
      </w:r>
      <w:proofErr w:type="spellEnd"/>
      <w:r w:rsidR="00785BCF">
        <w:t xml:space="preserve">, </w:t>
      </w:r>
    </w:p>
    <w:p w:rsidR="004313CE" w:rsidRDefault="00785BCF" w:rsidP="004313CE">
      <w:pPr>
        <w:pStyle w:val="NoSpacing"/>
        <w:numPr>
          <w:ilvl w:val="0"/>
          <w:numId w:val="1"/>
        </w:numPr>
      </w:pPr>
      <w:r>
        <w:t>risk för förlängd smittb</w:t>
      </w:r>
      <w:r w:rsidR="004313CE">
        <w:t>ärartid vid salmonellainfektion,</w:t>
      </w:r>
      <w:r w:rsidR="007D64CF">
        <w:t xml:space="preserve"> </w:t>
      </w:r>
    </w:p>
    <w:p w:rsidR="00080BFB" w:rsidRDefault="004313CE" w:rsidP="004313CE">
      <w:pPr>
        <w:pStyle w:val="NoSpacing"/>
        <w:numPr>
          <w:ilvl w:val="0"/>
          <w:numId w:val="1"/>
        </w:numPr>
      </w:pPr>
      <w:proofErr w:type="gramStart"/>
      <w:r>
        <w:t>a</w:t>
      </w:r>
      <w:r w:rsidR="007D64CF">
        <w:t>llmänt ogynnsam ekologisk påverkan av onödig antibiotikabehandling.</w:t>
      </w:r>
      <w:proofErr w:type="gramEnd"/>
    </w:p>
    <w:p w:rsidR="00785BCF" w:rsidRDefault="00785BCF" w:rsidP="00785BCF">
      <w:pPr>
        <w:pStyle w:val="NoSpacing"/>
      </w:pPr>
      <w:r>
        <w:t xml:space="preserve">Så </w:t>
      </w:r>
      <w:proofErr w:type="spellStart"/>
      <w:r>
        <w:t>diarre</w:t>
      </w:r>
      <w:proofErr w:type="spellEnd"/>
      <w:r>
        <w:t xml:space="preserve"> med S</w:t>
      </w:r>
      <w:r w:rsidRPr="00FB6ACA">
        <w:t xml:space="preserve">almonella </w:t>
      </w:r>
      <w:proofErr w:type="spellStart"/>
      <w:r w:rsidRPr="00FB6ACA">
        <w:t>typhimurium</w:t>
      </w:r>
      <w:proofErr w:type="spellEnd"/>
      <w:r w:rsidRPr="00FB6ACA">
        <w:t xml:space="preserve"> </w:t>
      </w:r>
      <w:r>
        <w:t xml:space="preserve">och </w:t>
      </w:r>
      <w:proofErr w:type="spellStart"/>
      <w:r>
        <w:t>Campylobacter</w:t>
      </w:r>
      <w:proofErr w:type="spellEnd"/>
      <w:r>
        <w:t xml:space="preserve"> </w:t>
      </w:r>
      <w:proofErr w:type="spellStart"/>
      <w:r>
        <w:t>jejunii</w:t>
      </w:r>
      <w:proofErr w:type="spellEnd"/>
      <w:r>
        <w:t xml:space="preserve"> ska inte ha antibiotika.</w:t>
      </w:r>
    </w:p>
    <w:p w:rsidR="00785BCF" w:rsidRPr="00FB6ACA" w:rsidRDefault="00785BCF" w:rsidP="00785BCF">
      <w:pPr>
        <w:pStyle w:val="NoSpacing"/>
      </w:pPr>
      <w:r>
        <w:t xml:space="preserve">Däremot </w:t>
      </w:r>
      <w:proofErr w:type="spellStart"/>
      <w:r w:rsidRPr="00FB6ACA">
        <w:t>Shigella</w:t>
      </w:r>
      <w:proofErr w:type="spellEnd"/>
      <w:r w:rsidRPr="00FB6ACA">
        <w:t xml:space="preserve"> </w:t>
      </w:r>
      <w:proofErr w:type="spellStart"/>
      <w:r w:rsidRPr="00FB6ACA">
        <w:t>dysenteriae</w:t>
      </w:r>
      <w:proofErr w:type="spellEnd"/>
      <w:r w:rsidRPr="00FB6ACA">
        <w:t xml:space="preserve"> </w:t>
      </w:r>
      <w:r>
        <w:t xml:space="preserve">och </w:t>
      </w:r>
      <w:proofErr w:type="spellStart"/>
      <w:r w:rsidRPr="00FB6ACA">
        <w:t>Entamoeba</w:t>
      </w:r>
      <w:proofErr w:type="spellEnd"/>
      <w:r w:rsidRPr="00FB6ACA">
        <w:t xml:space="preserve"> </w:t>
      </w:r>
      <w:proofErr w:type="spellStart"/>
      <w:r w:rsidRPr="00FB6ACA">
        <w:t>histolytica</w:t>
      </w:r>
      <w:proofErr w:type="spellEnd"/>
      <w:r>
        <w:t xml:space="preserve"> ska ha antibiotika.</w:t>
      </w:r>
    </w:p>
    <w:p w:rsidR="00785BCF" w:rsidRDefault="00785BCF" w:rsidP="00080BFB">
      <w:pPr>
        <w:pStyle w:val="NoSpacing"/>
      </w:pPr>
    </w:p>
    <w:p w:rsidR="00FD1F19" w:rsidRDefault="00FD1F19" w:rsidP="00FD1F19">
      <w:pPr>
        <w:pStyle w:val="Heading3"/>
      </w:pPr>
      <w:proofErr w:type="spellStart"/>
      <w:r>
        <w:t>Shigella</w:t>
      </w:r>
      <w:proofErr w:type="spellEnd"/>
    </w:p>
    <w:p w:rsidR="00FD1F19" w:rsidRPr="00FD1F19" w:rsidRDefault="00FD1F19" w:rsidP="00FD1F19">
      <w:pPr>
        <w:pStyle w:val="NoSpacing"/>
      </w:pPr>
      <w:r>
        <w:t xml:space="preserve">Behandling: </w:t>
      </w:r>
      <w:proofErr w:type="spellStart"/>
      <w:r>
        <w:t>ciprofloxacin</w:t>
      </w:r>
      <w:proofErr w:type="spellEnd"/>
      <w:r w:rsidR="0070720A">
        <w:t xml:space="preserve"> (</w:t>
      </w:r>
      <w:proofErr w:type="spellStart"/>
      <w:r w:rsidR="0070720A">
        <w:t>pga</w:t>
      </w:r>
      <w:proofErr w:type="spellEnd"/>
      <w:r w:rsidR="0070720A">
        <w:t xml:space="preserve"> hög smittsamhet)</w:t>
      </w:r>
    </w:p>
    <w:p w:rsidR="00FD1F19" w:rsidRPr="00080BFB" w:rsidRDefault="00FD1F19" w:rsidP="00080BFB">
      <w:pPr>
        <w:pStyle w:val="NoSpacing"/>
      </w:pPr>
    </w:p>
    <w:p w:rsidR="00EA5480" w:rsidRDefault="00EA5480" w:rsidP="00EA5480">
      <w:pPr>
        <w:pStyle w:val="Heading3"/>
      </w:pPr>
      <w:proofErr w:type="spellStart"/>
      <w:r>
        <w:t>Campylobacter</w:t>
      </w:r>
      <w:proofErr w:type="spellEnd"/>
    </w:p>
    <w:p w:rsidR="00EA5480" w:rsidRDefault="00EA5480" w:rsidP="00EA5480">
      <w:pPr>
        <w:pStyle w:val="NoSpacing"/>
      </w:pPr>
      <w:r>
        <w:t>Vanligaste</w:t>
      </w:r>
      <w:r w:rsidR="00080BFB">
        <w:t xml:space="preserve"> inhemska (febril, diarré)</w:t>
      </w:r>
      <w:r>
        <w:t xml:space="preserve"> inflammatoriska </w:t>
      </w:r>
      <w:proofErr w:type="spellStart"/>
      <w:r>
        <w:t>tarmpatogenen</w:t>
      </w:r>
      <w:proofErr w:type="spellEnd"/>
      <w:r>
        <w:t xml:space="preserve"> i Sverige. </w:t>
      </w:r>
      <w:r w:rsidR="00785BCF">
        <w:t>Okomplicerad tarminfektion.</w:t>
      </w:r>
    </w:p>
    <w:p w:rsidR="00EA5480" w:rsidRPr="00EA5480" w:rsidRDefault="00EA5480" w:rsidP="00EA5480">
      <w:pPr>
        <w:pStyle w:val="NoSpacing"/>
      </w:pPr>
    </w:p>
    <w:p w:rsidR="00157ACC" w:rsidRDefault="00157ACC" w:rsidP="00157ACC">
      <w:pPr>
        <w:pStyle w:val="Heading3"/>
      </w:pPr>
      <w:r>
        <w:t xml:space="preserve">Clostridium </w:t>
      </w:r>
      <w:proofErr w:type="spellStart"/>
      <w:r>
        <w:t>difficile</w:t>
      </w:r>
      <w:proofErr w:type="spellEnd"/>
    </w:p>
    <w:p w:rsidR="00157ACC" w:rsidRDefault="00157ACC" w:rsidP="00157ACC">
      <w:pPr>
        <w:pStyle w:val="NoSpacing"/>
      </w:pPr>
      <w:r>
        <w:t>Efter antibiotikabehandling.</w:t>
      </w:r>
    </w:p>
    <w:p w:rsidR="00157ACC" w:rsidRDefault="00157ACC" w:rsidP="00157ACC">
      <w:pPr>
        <w:pStyle w:val="NoSpacing"/>
      </w:pPr>
      <w:r>
        <w:t xml:space="preserve">Diagnos: </w:t>
      </w:r>
      <w:proofErr w:type="spellStart"/>
      <w:r>
        <w:t>Fecesprov</w:t>
      </w:r>
      <w:proofErr w:type="spellEnd"/>
      <w:r>
        <w:t>, toxinpåvisning.</w:t>
      </w:r>
    </w:p>
    <w:p w:rsidR="00157ACC" w:rsidRDefault="00157ACC" w:rsidP="00157ACC">
      <w:pPr>
        <w:pStyle w:val="NoSpacing"/>
      </w:pPr>
      <w:r>
        <w:t xml:space="preserve">Behandling: </w:t>
      </w:r>
      <w:proofErr w:type="spellStart"/>
      <w:r>
        <w:t>Metronidazol</w:t>
      </w:r>
      <w:proofErr w:type="spellEnd"/>
    </w:p>
    <w:p w:rsidR="007F4D96" w:rsidRDefault="007F4D96" w:rsidP="00157ACC">
      <w:pPr>
        <w:pStyle w:val="NoSpacing"/>
      </w:pPr>
    </w:p>
    <w:p w:rsidR="007F4D96" w:rsidRDefault="000969CF" w:rsidP="007F4D96">
      <w:pPr>
        <w:pStyle w:val="Heading3"/>
      </w:pPr>
      <w:r>
        <w:t>EHEC</w:t>
      </w:r>
    </w:p>
    <w:p w:rsidR="00D53831" w:rsidRDefault="00D53831" w:rsidP="000969CF">
      <w:pPr>
        <w:pStyle w:val="NoSpacing"/>
      </w:pPr>
      <w:r>
        <w:t xml:space="preserve">Symtom: njursvikt, </w:t>
      </w:r>
      <w:proofErr w:type="spellStart"/>
      <w:r>
        <w:t>trombocytopeni</w:t>
      </w:r>
      <w:proofErr w:type="spellEnd"/>
      <w:r>
        <w:t xml:space="preserve">, blodig diarré, </w:t>
      </w:r>
      <w:proofErr w:type="spellStart"/>
      <w:r>
        <w:t>hemolys</w:t>
      </w:r>
      <w:proofErr w:type="spellEnd"/>
      <w:r>
        <w:t>, neurologiska symtom.</w:t>
      </w:r>
    </w:p>
    <w:p w:rsidR="000969CF" w:rsidRPr="000969CF" w:rsidRDefault="000969CF" w:rsidP="000969CF">
      <w:pPr>
        <w:pStyle w:val="NoSpacing"/>
      </w:pPr>
      <w:r>
        <w:t>Komplikationer: HUS (ge</w:t>
      </w:r>
      <w:r w:rsidR="002A4C41">
        <w:t xml:space="preserve">r anemi, </w:t>
      </w:r>
      <w:proofErr w:type="spellStart"/>
      <w:r w:rsidR="002A4C41">
        <w:t>trombocytopeni</w:t>
      </w:r>
      <w:proofErr w:type="spellEnd"/>
      <w:r w:rsidR="002A4C41">
        <w:t xml:space="preserve">, </w:t>
      </w:r>
      <w:proofErr w:type="spellStart"/>
      <w:r w:rsidR="002A4C41">
        <w:t>krea</w:t>
      </w:r>
      <w:r>
        <w:t>stegring</w:t>
      </w:r>
      <w:proofErr w:type="spellEnd"/>
      <w:r>
        <w:t>)</w:t>
      </w:r>
    </w:p>
    <w:p w:rsidR="00157ACC" w:rsidRDefault="00157ACC" w:rsidP="00157ACC">
      <w:pPr>
        <w:pStyle w:val="NoSpacing"/>
      </w:pPr>
    </w:p>
    <w:p w:rsidR="00080BFB" w:rsidRDefault="00080BFB" w:rsidP="00080BFB">
      <w:pPr>
        <w:pStyle w:val="Heading3"/>
      </w:pPr>
      <w:r>
        <w:t>ETEC</w:t>
      </w:r>
    </w:p>
    <w:p w:rsidR="00080BFB" w:rsidRPr="00080BFB" w:rsidRDefault="00080BFB" w:rsidP="00080BFB">
      <w:pPr>
        <w:pStyle w:val="NoSpacing"/>
      </w:pPr>
      <w:r>
        <w:t>Turistdiarré. Vanligaste utlandsförvärvade diarrésjukdomen.</w:t>
      </w:r>
    </w:p>
    <w:p w:rsidR="00080BFB" w:rsidRPr="00080BFB" w:rsidRDefault="00080BFB" w:rsidP="00080BFB">
      <w:pPr>
        <w:pStyle w:val="NoSpacing"/>
      </w:pPr>
    </w:p>
    <w:p w:rsidR="00297EF4" w:rsidRDefault="00297EF4" w:rsidP="00297EF4">
      <w:pPr>
        <w:pStyle w:val="Heading3"/>
      </w:pPr>
      <w:proofErr w:type="spellStart"/>
      <w:r>
        <w:lastRenderedPageBreak/>
        <w:t>Tarmpatogener</w:t>
      </w:r>
      <w:proofErr w:type="spellEnd"/>
      <w:r>
        <w:t xml:space="preserve"> som kräver antibiotika</w:t>
      </w:r>
    </w:p>
    <w:p w:rsidR="00297EF4" w:rsidRDefault="00297EF4" w:rsidP="00297EF4">
      <w:pPr>
        <w:pStyle w:val="NoSpacing"/>
      </w:pPr>
      <w:r w:rsidRPr="00297EF4">
        <w:t xml:space="preserve">C. </w:t>
      </w:r>
      <w:proofErr w:type="spellStart"/>
      <w:r w:rsidRPr="00297EF4">
        <w:t>difficile</w:t>
      </w:r>
      <w:proofErr w:type="spellEnd"/>
      <w:r w:rsidRPr="00297EF4">
        <w:t>, (Kolera),</w:t>
      </w:r>
      <w:r w:rsidR="002A4C41" w:rsidRPr="002A4C41">
        <w:t xml:space="preserve"> </w:t>
      </w:r>
      <w:proofErr w:type="spellStart"/>
      <w:r w:rsidR="002A4C41" w:rsidRPr="00297EF4">
        <w:t>Shigella</w:t>
      </w:r>
      <w:proofErr w:type="spellEnd"/>
      <w:r w:rsidR="002A4C41" w:rsidRPr="00297EF4">
        <w:t xml:space="preserve">, </w:t>
      </w:r>
      <w:r w:rsidRPr="00297EF4">
        <w:t>Giardia, Amöba</w:t>
      </w:r>
      <w:r w:rsidR="004313CE">
        <w:t xml:space="preserve"> = </w:t>
      </w:r>
      <w:proofErr w:type="spellStart"/>
      <w:r w:rsidR="004313CE">
        <w:t>Entamoeaba</w:t>
      </w:r>
      <w:proofErr w:type="spellEnd"/>
    </w:p>
    <w:p w:rsidR="007D64CF" w:rsidRDefault="007D64CF" w:rsidP="00297EF4">
      <w:pPr>
        <w:pStyle w:val="NoSpacing"/>
      </w:pPr>
    </w:p>
    <w:p w:rsidR="007D64CF" w:rsidRDefault="007D64CF" w:rsidP="007D64CF">
      <w:pPr>
        <w:pStyle w:val="Heading3"/>
      </w:pPr>
      <w:proofErr w:type="spellStart"/>
      <w:r>
        <w:t>Faecesodling</w:t>
      </w:r>
      <w:proofErr w:type="spellEnd"/>
      <w:r>
        <w:t xml:space="preserve"> och cystor-</w:t>
      </w:r>
      <w:proofErr w:type="spellStart"/>
      <w:r>
        <w:t>maskägg</w:t>
      </w:r>
      <w:proofErr w:type="spellEnd"/>
    </w:p>
    <w:p w:rsidR="007D64CF" w:rsidRPr="003C2448" w:rsidRDefault="007D64CF" w:rsidP="007D64CF">
      <w:pPr>
        <w:pStyle w:val="NoSpacing"/>
      </w:pPr>
      <w:r w:rsidRPr="003C2448">
        <w:t xml:space="preserve">Identifierbara </w:t>
      </w:r>
      <w:proofErr w:type="spellStart"/>
      <w:r w:rsidRPr="003C2448">
        <w:t>patogener</w:t>
      </w:r>
      <w:proofErr w:type="spellEnd"/>
      <w:r w:rsidRPr="003C2448">
        <w:t>:</w:t>
      </w:r>
    </w:p>
    <w:p w:rsidR="007D64CF" w:rsidRPr="007D64CF" w:rsidRDefault="007D64CF" w:rsidP="007D64CF">
      <w:pPr>
        <w:pStyle w:val="NoSpacing"/>
        <w:rPr>
          <w:lang w:val="en-US"/>
        </w:rPr>
      </w:pPr>
      <w:r w:rsidRPr="007D64CF">
        <w:rPr>
          <w:lang w:val="en-US"/>
        </w:rPr>
        <w:t xml:space="preserve">Salmonella, campylobacter, </w:t>
      </w:r>
      <w:proofErr w:type="spellStart"/>
      <w:r w:rsidRPr="007D64CF">
        <w:rPr>
          <w:lang w:val="en-US"/>
        </w:rPr>
        <w:t>yersinia</w:t>
      </w:r>
      <w:proofErr w:type="spellEnd"/>
      <w:r w:rsidRPr="007D64CF">
        <w:rPr>
          <w:lang w:val="en-US"/>
        </w:rPr>
        <w:t xml:space="preserve">, </w:t>
      </w:r>
      <w:proofErr w:type="spellStart"/>
      <w:r w:rsidRPr="007D64CF">
        <w:rPr>
          <w:lang w:val="en-US"/>
        </w:rPr>
        <w:t>shigella</w:t>
      </w:r>
      <w:proofErr w:type="spellEnd"/>
      <w:r w:rsidRPr="007D64CF">
        <w:rPr>
          <w:lang w:val="en-US"/>
        </w:rPr>
        <w:t xml:space="preserve">, giardia, </w:t>
      </w:r>
      <w:proofErr w:type="spellStart"/>
      <w:r w:rsidR="003C2448">
        <w:rPr>
          <w:lang w:val="en-US"/>
        </w:rPr>
        <w:t>a</w:t>
      </w:r>
      <w:r w:rsidRPr="007D64CF">
        <w:rPr>
          <w:lang w:val="en-US"/>
        </w:rPr>
        <w:t>möba</w:t>
      </w:r>
      <w:proofErr w:type="spellEnd"/>
      <w:r w:rsidRPr="007D64CF">
        <w:rPr>
          <w:lang w:val="en-US"/>
        </w:rPr>
        <w:t>.</w:t>
      </w:r>
    </w:p>
    <w:p w:rsidR="00297EF4" w:rsidRPr="007D64CF" w:rsidRDefault="00297EF4" w:rsidP="00157ACC">
      <w:pPr>
        <w:pStyle w:val="NoSpacing"/>
        <w:rPr>
          <w:lang w:val="en-US"/>
        </w:rPr>
      </w:pPr>
    </w:p>
    <w:p w:rsidR="00EB55AA" w:rsidRDefault="00EB55AA" w:rsidP="00EB55AA">
      <w:pPr>
        <w:pStyle w:val="Heading2"/>
      </w:pPr>
      <w:r>
        <w:t>Viral hepatit</w:t>
      </w:r>
    </w:p>
    <w:p w:rsidR="00297EF4" w:rsidRDefault="00B35076" w:rsidP="00297EF4">
      <w:pPr>
        <w:pStyle w:val="Heading3"/>
      </w:pPr>
      <w:r>
        <w:t>Akut hepatit</w:t>
      </w:r>
    </w:p>
    <w:p w:rsidR="0064613B" w:rsidRPr="0064613B" w:rsidRDefault="0064613B" w:rsidP="0064613B">
      <w:pPr>
        <w:pStyle w:val="NoSpacing"/>
      </w:pPr>
      <w:r>
        <w:t>Hepatit A: leder aldrig till kronisk sjukdom utan läker alltså alltid ut.</w:t>
      </w:r>
    </w:p>
    <w:p w:rsidR="00B35076" w:rsidRPr="00297EF4" w:rsidRDefault="00B35076" w:rsidP="0064613B">
      <w:pPr>
        <w:pStyle w:val="NoSpacing"/>
      </w:pPr>
      <w:r>
        <w:t>Anamnes: utlandsresa</w:t>
      </w:r>
      <w:r w:rsidR="003C2448">
        <w:t xml:space="preserve"> (mat)</w:t>
      </w:r>
      <w:r>
        <w:t>, se</w:t>
      </w:r>
      <w:r w:rsidR="005D2066">
        <w:t>xuella kontakter, iv-missbruk</w:t>
      </w:r>
      <w:r w:rsidR="00297EF4">
        <w:t>.</w:t>
      </w:r>
    </w:p>
    <w:p w:rsidR="0064613B" w:rsidRDefault="00297EF4" w:rsidP="00297EF4">
      <w:pPr>
        <w:pStyle w:val="NoSpacing"/>
      </w:pPr>
      <w:r w:rsidRPr="00297EF4">
        <w:t xml:space="preserve">Symtom: </w:t>
      </w:r>
    </w:p>
    <w:p w:rsidR="0064613B" w:rsidRDefault="0064613B" w:rsidP="00297EF4">
      <w:pPr>
        <w:pStyle w:val="NoSpacing"/>
      </w:pPr>
    </w:p>
    <w:p w:rsidR="00297EF4" w:rsidRPr="00297EF4" w:rsidRDefault="0064613B" w:rsidP="00297EF4">
      <w:pPr>
        <w:pStyle w:val="NoSpacing"/>
      </w:pPr>
      <w:r>
        <w:t xml:space="preserve">Hepatit A: </w:t>
      </w:r>
      <w:proofErr w:type="spellStart"/>
      <w:r>
        <w:t>Prodromalstadium</w:t>
      </w:r>
      <w:proofErr w:type="spellEnd"/>
      <w:r>
        <w:t xml:space="preserve"> med influensaliknande sjukdomsbild med muskel- och ledvärk, samt feber. Följs av </w:t>
      </w:r>
      <w:proofErr w:type="spellStart"/>
      <w:proofErr w:type="gramStart"/>
      <w:r>
        <w:t>ikterisk</w:t>
      </w:r>
      <w:proofErr w:type="spellEnd"/>
      <w:proofErr w:type="gramEnd"/>
      <w:r>
        <w:t xml:space="preserve"> stadium. Ofta asymtomatiskt (dominerande bland barn).</w:t>
      </w:r>
    </w:p>
    <w:p w:rsidR="004A685F" w:rsidRDefault="004A685F" w:rsidP="00EA3197">
      <w:pPr>
        <w:pStyle w:val="NoSpacing"/>
      </w:pPr>
      <w:r>
        <w:t>Smittvägar: föda (utlandsvistelse)</w:t>
      </w:r>
    </w:p>
    <w:p w:rsidR="0064613B" w:rsidRDefault="00D53831" w:rsidP="00EA3197">
      <w:pPr>
        <w:pStyle w:val="NoSpacing"/>
      </w:pPr>
      <w:r>
        <w:t xml:space="preserve">Diagnos: </w:t>
      </w:r>
      <w:proofErr w:type="spellStart"/>
      <w:r>
        <w:t>IgM</w:t>
      </w:r>
      <w:proofErr w:type="spellEnd"/>
      <w:r>
        <w:t>-</w:t>
      </w:r>
      <w:r w:rsidR="00F3224B">
        <w:t>a</w:t>
      </w:r>
      <w:r>
        <w:t>nti-HAV</w:t>
      </w:r>
    </w:p>
    <w:p w:rsidR="00D53831" w:rsidRDefault="00D53831" w:rsidP="00EA3197">
      <w:pPr>
        <w:pStyle w:val="NoSpacing"/>
      </w:pPr>
    </w:p>
    <w:p w:rsidR="00F3224B" w:rsidRDefault="0064613B" w:rsidP="00EA3197">
      <w:pPr>
        <w:pStyle w:val="NoSpacing"/>
      </w:pPr>
      <w:r>
        <w:t xml:space="preserve">Hepatit B: feber, </w:t>
      </w:r>
      <w:proofErr w:type="spellStart"/>
      <w:r>
        <w:t>urtikaria</w:t>
      </w:r>
      <w:proofErr w:type="spellEnd"/>
      <w:r>
        <w:t xml:space="preserve">, ledvärk, asymtomatisk (dominerande bland småbarn), </w:t>
      </w:r>
      <w:proofErr w:type="spellStart"/>
      <w:r>
        <w:t>anikterisk</w:t>
      </w:r>
      <w:proofErr w:type="spellEnd"/>
      <w:r>
        <w:t xml:space="preserve">, </w:t>
      </w:r>
      <w:proofErr w:type="spellStart"/>
      <w:r>
        <w:t>ikterisk</w:t>
      </w:r>
      <w:proofErr w:type="spellEnd"/>
      <w:r>
        <w:t xml:space="preserve"> (dominerande bland vuxna)</w:t>
      </w:r>
      <w:r w:rsidR="00F3224B">
        <w:t>.</w:t>
      </w:r>
    </w:p>
    <w:p w:rsidR="00837EDB" w:rsidRDefault="00837EDB" w:rsidP="00EA3197">
      <w:pPr>
        <w:pStyle w:val="NoSpacing"/>
      </w:pPr>
      <w:r>
        <w:t>Smittvägar: intravenöst drogmissbruk, sexuell smitta.</w:t>
      </w:r>
    </w:p>
    <w:p w:rsidR="0064613B" w:rsidRDefault="00642227" w:rsidP="00EA3197">
      <w:pPr>
        <w:pStyle w:val="NoSpacing"/>
      </w:pPr>
      <w:r>
        <w:t xml:space="preserve">Diagnos: </w:t>
      </w:r>
      <w:proofErr w:type="spellStart"/>
      <w:r>
        <w:t>IgM</w:t>
      </w:r>
      <w:proofErr w:type="spellEnd"/>
      <w:r>
        <w:t>-anti-HBV</w:t>
      </w:r>
    </w:p>
    <w:p w:rsidR="0064613B" w:rsidRDefault="0064613B" w:rsidP="00EA3197">
      <w:pPr>
        <w:pStyle w:val="NoSpacing"/>
      </w:pPr>
    </w:p>
    <w:p w:rsidR="00B35076" w:rsidRDefault="00B35076" w:rsidP="00EA3197">
      <w:pPr>
        <w:pStyle w:val="NoSpacing"/>
      </w:pPr>
      <w:r>
        <w:t>Handläggning: 1,6 &lt; PK-INR &lt; 2,0 tyder på allvarlig leverskada och patienten bör inläggas.</w:t>
      </w:r>
      <w:r w:rsidR="0064613B">
        <w:t xml:space="preserve"> Annars ingen inläggning.</w:t>
      </w:r>
    </w:p>
    <w:p w:rsidR="00EA3197" w:rsidRPr="00EA3197" w:rsidRDefault="00EA3197" w:rsidP="00EA3197">
      <w:pPr>
        <w:pStyle w:val="NoSpacing"/>
      </w:pPr>
      <w:r>
        <w:t xml:space="preserve">Smittskydd: Inte laga mat åt andra. Noggrann handhygien. Avstängd två veckor efter </w:t>
      </w:r>
      <w:proofErr w:type="spellStart"/>
      <w:r>
        <w:t>ikterusdebut</w:t>
      </w:r>
      <w:proofErr w:type="spellEnd"/>
      <w:r>
        <w:t>. Smittanmälan.</w:t>
      </w:r>
    </w:p>
    <w:p w:rsidR="00EA3197" w:rsidRPr="00EA3197" w:rsidRDefault="00EA3197" w:rsidP="00EA3197">
      <w:pPr>
        <w:pStyle w:val="NoSpacing"/>
      </w:pPr>
    </w:p>
    <w:p w:rsidR="00EB55AA" w:rsidRDefault="00EB55AA" w:rsidP="00EB55AA">
      <w:pPr>
        <w:pStyle w:val="Heading3"/>
      </w:pPr>
      <w:r>
        <w:t>Kronisk hepatit</w:t>
      </w:r>
    </w:p>
    <w:p w:rsidR="00EB55AA" w:rsidRDefault="00EB55AA" w:rsidP="00EB55AA">
      <w:pPr>
        <w:pStyle w:val="NoSpacing"/>
      </w:pPr>
      <w:r>
        <w:t>Etiologi: Hepatit B, C.</w:t>
      </w:r>
    </w:p>
    <w:p w:rsidR="00EB55AA" w:rsidRDefault="00EB55AA" w:rsidP="00EB55AA">
      <w:pPr>
        <w:pStyle w:val="NoSpacing"/>
      </w:pPr>
      <w:r>
        <w:t>Symtom: asymtomatisk</w:t>
      </w:r>
    </w:p>
    <w:p w:rsidR="00EB55AA" w:rsidRDefault="00EB55AA" w:rsidP="00EB55AA">
      <w:pPr>
        <w:pStyle w:val="NoSpacing"/>
      </w:pPr>
      <w:r>
        <w:t>Komplikationer: cirrhos, levercancer.</w:t>
      </w:r>
    </w:p>
    <w:p w:rsidR="0064613B" w:rsidRPr="0064613B" w:rsidRDefault="0064613B" w:rsidP="0064613B">
      <w:pPr>
        <w:pStyle w:val="NoSpacing"/>
      </w:pPr>
    </w:p>
    <w:p w:rsidR="0064613B" w:rsidRPr="0064613B" w:rsidRDefault="0064613B" w:rsidP="0064613B">
      <w:pPr>
        <w:pStyle w:val="NoSpacing"/>
      </w:pPr>
      <w:r w:rsidRPr="0064613B">
        <w:t>Små barn har vanligen få eller inga symtom</w:t>
      </w:r>
      <w:r>
        <w:t xml:space="preserve"> av hepatit B</w:t>
      </w:r>
      <w:r w:rsidRPr="0064613B">
        <w:t xml:space="preserve">, medan omkring </w:t>
      </w:r>
      <w:r>
        <w:t>hälften av vuxna har symtom</w:t>
      </w:r>
      <w:r w:rsidRPr="0064613B">
        <w:t>. Risken att utveckla kronisk hepat</w:t>
      </w:r>
      <w:r>
        <w:t>it är mycket högre för nyfödda och små barn än för vuxna</w:t>
      </w:r>
      <w:r w:rsidRPr="0064613B">
        <w:t>.</w:t>
      </w:r>
    </w:p>
    <w:p w:rsidR="00EB55AA" w:rsidRPr="00653978" w:rsidRDefault="00EB55AA" w:rsidP="00EB55AA">
      <w:pPr>
        <w:pStyle w:val="NoSpacing"/>
      </w:pPr>
    </w:p>
    <w:p w:rsidR="00EB55AA" w:rsidRDefault="00EB55AA" w:rsidP="00EB55AA">
      <w:pPr>
        <w:pStyle w:val="Heading3"/>
      </w:pPr>
      <w:r>
        <w:t>Hepatit C</w:t>
      </w:r>
    </w:p>
    <w:p w:rsidR="00EB55AA" w:rsidRDefault="007D64CF" w:rsidP="00EB55AA">
      <w:pPr>
        <w:pStyle w:val="NoSpacing"/>
      </w:pPr>
      <w:r>
        <w:t>Före 1991</w:t>
      </w:r>
      <w:r w:rsidR="004A685F">
        <w:t>-92</w:t>
      </w:r>
      <w:r w:rsidR="00EB55AA">
        <w:t xml:space="preserve"> var viruset inte identifierat i Sverige och det fanns inga rutintester. Det förelåg därför risk att smittas av HCV vid blodtransfusion.</w:t>
      </w:r>
    </w:p>
    <w:p w:rsidR="004A685F" w:rsidRPr="00822AF3" w:rsidRDefault="004A685F" w:rsidP="00822AF3">
      <w:pPr>
        <w:pStyle w:val="NoSpacing"/>
      </w:pPr>
      <w:r>
        <w:t>Smittvägar: intravenöst drogmissbruk, transfusioner före 1991-92.</w:t>
      </w:r>
    </w:p>
    <w:p w:rsidR="00822AF3" w:rsidRPr="00822AF3" w:rsidRDefault="00822AF3" w:rsidP="00822AF3">
      <w:pPr>
        <w:pStyle w:val="NoSpacing"/>
      </w:pPr>
      <w:r w:rsidRPr="00822AF3">
        <w:t xml:space="preserve">Smittskydd: </w:t>
      </w:r>
      <w:r>
        <w:t>Patient ska u</w:t>
      </w:r>
      <w:r w:rsidRPr="00822AF3">
        <w:t xml:space="preserve">pplysa om smitta vid sjukvårds och tandvårdsbesök. </w:t>
      </w:r>
      <w:proofErr w:type="gramStart"/>
      <w:r w:rsidRPr="00822AF3">
        <w:t>Ej</w:t>
      </w:r>
      <w:proofErr w:type="gramEnd"/>
      <w:r w:rsidRPr="00822AF3">
        <w:t xml:space="preserve"> donera blod eller</w:t>
      </w:r>
      <w:r>
        <w:t xml:space="preserve"> organ.</w:t>
      </w:r>
    </w:p>
    <w:p w:rsidR="00EB55AA" w:rsidRDefault="00EB55AA" w:rsidP="00EB55AA">
      <w:pPr>
        <w:pStyle w:val="NoSpacing"/>
      </w:pPr>
      <w:r>
        <w:t>Symtom vid kronisk sjukdom: asymtomatisk</w:t>
      </w:r>
    </w:p>
    <w:p w:rsidR="00EB55AA" w:rsidRDefault="00EB55AA" w:rsidP="00EB55AA">
      <w:pPr>
        <w:pStyle w:val="NoSpacing"/>
      </w:pPr>
      <w:r>
        <w:t xml:space="preserve">Screeningsprov: </w:t>
      </w:r>
      <w:proofErr w:type="spellStart"/>
      <w:r w:rsidR="003C2448">
        <w:t>IgM</w:t>
      </w:r>
      <w:proofErr w:type="spellEnd"/>
      <w:r w:rsidR="003C2448">
        <w:t>-a</w:t>
      </w:r>
      <w:r>
        <w:t>nti-HCV</w:t>
      </w:r>
    </w:p>
    <w:p w:rsidR="00EB55AA" w:rsidRDefault="00EB55AA" w:rsidP="00EB55AA">
      <w:pPr>
        <w:pStyle w:val="NoSpacing"/>
      </w:pPr>
      <w:r>
        <w:t xml:space="preserve">Diagnos: </w:t>
      </w:r>
      <w:r w:rsidRPr="007D64CF">
        <w:rPr>
          <w:b/>
        </w:rPr>
        <w:t>PCR</w:t>
      </w:r>
      <w:r w:rsidR="00822AF3">
        <w:t xml:space="preserve"> eller </w:t>
      </w:r>
      <w:r>
        <w:t>HCV-RNA.</w:t>
      </w:r>
    </w:p>
    <w:p w:rsidR="00EB55AA" w:rsidRDefault="00EB55AA" w:rsidP="00EB55AA">
      <w:pPr>
        <w:pStyle w:val="NoSpacing"/>
      </w:pPr>
      <w:r>
        <w:t>Positivt anti-HCV kan vara tecken på genomgången/utläkt hepatit. PCR och HCV-RNA behöver tas för att säkerställa diagnosen.</w:t>
      </w:r>
    </w:p>
    <w:p w:rsidR="00EB55AA" w:rsidRPr="00632089" w:rsidRDefault="00EB55AA" w:rsidP="00EB55AA">
      <w:pPr>
        <w:pStyle w:val="NoSpacing"/>
      </w:pPr>
    </w:p>
    <w:p w:rsidR="001074FD" w:rsidRDefault="00EB55AA" w:rsidP="001074FD">
      <w:pPr>
        <w:pStyle w:val="Heading2"/>
      </w:pPr>
      <w:r>
        <w:lastRenderedPageBreak/>
        <w:t>Urinvägsinfektioner</w:t>
      </w:r>
    </w:p>
    <w:p w:rsidR="0064613B" w:rsidRDefault="0064613B" w:rsidP="0064613B">
      <w:pPr>
        <w:pStyle w:val="NoSpacing"/>
      </w:pPr>
      <w:r>
        <w:t xml:space="preserve">I primärvården är </w:t>
      </w:r>
      <w:proofErr w:type="spellStart"/>
      <w:r>
        <w:t>E.coli</w:t>
      </w:r>
      <w:proofErr w:type="spellEnd"/>
      <w:r>
        <w:t xml:space="preserve"> och S. </w:t>
      </w:r>
      <w:proofErr w:type="spellStart"/>
      <w:r>
        <w:t>saprophyticus</w:t>
      </w:r>
      <w:proofErr w:type="spellEnd"/>
      <w:r>
        <w:t xml:space="preserve"> vanligaste </w:t>
      </w:r>
      <w:proofErr w:type="spellStart"/>
      <w:r>
        <w:t>urinvägspatogenerna</w:t>
      </w:r>
      <w:proofErr w:type="spellEnd"/>
      <w:r>
        <w:t>.</w:t>
      </w:r>
    </w:p>
    <w:p w:rsidR="0064613B" w:rsidRDefault="0064613B" w:rsidP="0064613B">
      <w:pPr>
        <w:pStyle w:val="NoSpacing"/>
      </w:pPr>
      <w:r>
        <w:t xml:space="preserve">De är </w:t>
      </w:r>
      <w:proofErr w:type="spellStart"/>
      <w:r>
        <w:t>primärpatogener</w:t>
      </w:r>
      <w:proofErr w:type="spellEnd"/>
      <w:r>
        <w:t xml:space="preserve"> vilket innebär att de kan infektera </w:t>
      </w:r>
      <w:r w:rsidR="00AD7477">
        <w:t xml:space="preserve">individer med friska urinvägar </w:t>
      </w:r>
      <w:r>
        <w:t>utan pre</w:t>
      </w:r>
      <w:r w:rsidR="00AD7477">
        <w:t>disponerande faktorer.</w:t>
      </w:r>
    </w:p>
    <w:p w:rsidR="00AD7477" w:rsidRDefault="00AD7477" w:rsidP="0064613B">
      <w:pPr>
        <w:pStyle w:val="NoSpacing"/>
      </w:pPr>
    </w:p>
    <w:p w:rsidR="00AD7477" w:rsidRDefault="00AD7477" w:rsidP="0064613B">
      <w:pPr>
        <w:pStyle w:val="NoSpacing"/>
      </w:pPr>
      <w:proofErr w:type="spellStart"/>
      <w:r>
        <w:t>E.coli</w:t>
      </w:r>
      <w:proofErr w:type="spellEnd"/>
      <w:r>
        <w:t xml:space="preserve"> och andra bakteriearter tillhörande </w:t>
      </w:r>
      <w:proofErr w:type="spellStart"/>
      <w:r>
        <w:t>enterobacteriae</w:t>
      </w:r>
      <w:proofErr w:type="spellEnd"/>
      <w:r>
        <w:t xml:space="preserve"> har ett enzym som omvandlar nitrat till nitrit. Vid </w:t>
      </w:r>
      <w:proofErr w:type="spellStart"/>
      <w:r>
        <w:t>bakteriuri</w:t>
      </w:r>
      <w:proofErr w:type="spellEnd"/>
      <w:r>
        <w:t xml:space="preserve"> kan därför nitrat ofta påvisas i urinen.</w:t>
      </w:r>
    </w:p>
    <w:p w:rsidR="00AD7477" w:rsidRDefault="00AD7477" w:rsidP="0064613B">
      <w:pPr>
        <w:pStyle w:val="NoSpacing"/>
      </w:pPr>
      <w:r>
        <w:t xml:space="preserve">Falsk negativt </w:t>
      </w:r>
      <w:proofErr w:type="spellStart"/>
      <w:r>
        <w:t>nitrittest</w:t>
      </w:r>
      <w:proofErr w:type="spellEnd"/>
      <w:r>
        <w:t xml:space="preserve">: kort blåsinkubationstid, intag av stora doser vitamin c, infektion med bakterier som inte kan omvandla nitrat till nitrit (enterokocker, S. </w:t>
      </w:r>
      <w:proofErr w:type="spellStart"/>
      <w:r>
        <w:t>saprophyticus</w:t>
      </w:r>
      <w:proofErr w:type="spellEnd"/>
      <w:r>
        <w:t>)</w:t>
      </w:r>
    </w:p>
    <w:p w:rsidR="00AD7477" w:rsidRDefault="00AD7477" w:rsidP="0064613B">
      <w:pPr>
        <w:pStyle w:val="NoSpacing"/>
      </w:pPr>
    </w:p>
    <w:p w:rsidR="000B4B58" w:rsidRDefault="000B4B58" w:rsidP="0064613B">
      <w:pPr>
        <w:pStyle w:val="NoSpacing"/>
      </w:pPr>
      <w:r>
        <w:t>Hög vs låg UVI:</w:t>
      </w:r>
    </w:p>
    <w:p w:rsidR="000B4B58" w:rsidRDefault="000B4B58" w:rsidP="0064613B">
      <w:pPr>
        <w:pStyle w:val="NoSpacing"/>
      </w:pPr>
      <w:r>
        <w:t>Dunkömhet, CRP, feber</w:t>
      </w:r>
    </w:p>
    <w:p w:rsidR="000B4B58" w:rsidRDefault="000B4B58" w:rsidP="0064613B">
      <w:pPr>
        <w:pStyle w:val="NoSpacing"/>
      </w:pPr>
    </w:p>
    <w:p w:rsidR="00AD7477" w:rsidRDefault="00AD7477" w:rsidP="00AD7477">
      <w:pPr>
        <w:pStyle w:val="Heading3"/>
      </w:pPr>
      <w:r>
        <w:t xml:space="preserve">Asymtomatisk </w:t>
      </w:r>
      <w:proofErr w:type="spellStart"/>
      <w:r>
        <w:t>bakteriuri</w:t>
      </w:r>
      <w:proofErr w:type="spellEnd"/>
    </w:p>
    <w:p w:rsidR="00AD7477" w:rsidRDefault="00AD7477" w:rsidP="00AD7477">
      <w:pPr>
        <w:pStyle w:val="NoSpacing"/>
      </w:pPr>
      <w:r>
        <w:t xml:space="preserve">Ingen behandling utom för särskilda patientgrupper som </w:t>
      </w:r>
      <w:r w:rsidR="00A9147D">
        <w:t>genomgår kirurgiska ingrepp i urinvägarna (</w:t>
      </w:r>
      <w:proofErr w:type="spellStart"/>
      <w:r w:rsidR="00A9147D">
        <w:t>pga</w:t>
      </w:r>
      <w:proofErr w:type="spellEnd"/>
      <w:r w:rsidR="00A9147D">
        <w:t xml:space="preserve"> risk för postoperativa komplikationer som </w:t>
      </w:r>
      <w:proofErr w:type="spellStart"/>
      <w:r w:rsidR="00A9147D">
        <w:t>urosepsis</w:t>
      </w:r>
      <w:proofErr w:type="spellEnd"/>
      <w:r w:rsidR="00A9147D">
        <w:t>) och gravida (</w:t>
      </w:r>
      <w:proofErr w:type="spellStart"/>
      <w:r w:rsidR="00A9147D">
        <w:t>pga</w:t>
      </w:r>
      <w:proofErr w:type="spellEnd"/>
      <w:r w:rsidR="00A9147D">
        <w:t xml:space="preserve"> hög risk [30 procent] för akut </w:t>
      </w:r>
      <w:proofErr w:type="spellStart"/>
      <w:r w:rsidR="00A9147D">
        <w:t>pyelonefrit</w:t>
      </w:r>
      <w:proofErr w:type="spellEnd"/>
      <w:r w:rsidR="00A9147D">
        <w:t>).</w:t>
      </w:r>
    </w:p>
    <w:p w:rsidR="00AD7477" w:rsidRPr="00AD7477" w:rsidRDefault="00AD7477" w:rsidP="00AD7477">
      <w:pPr>
        <w:pStyle w:val="NoSpacing"/>
      </w:pPr>
    </w:p>
    <w:p w:rsidR="001074FD" w:rsidRDefault="00AB577C" w:rsidP="001074FD">
      <w:pPr>
        <w:pStyle w:val="Heading3"/>
      </w:pPr>
      <w:r>
        <w:t>Cystit (låg/nedre/d</w:t>
      </w:r>
      <w:r w:rsidR="001074FD">
        <w:t>istal UVI</w:t>
      </w:r>
      <w:r>
        <w:t>)</w:t>
      </w:r>
    </w:p>
    <w:p w:rsidR="001074FD" w:rsidRDefault="001074FD" w:rsidP="001074FD">
      <w:pPr>
        <w:pStyle w:val="NoSpacing"/>
      </w:pPr>
      <w:r>
        <w:t xml:space="preserve">Etiologi: E. </w:t>
      </w:r>
      <w:proofErr w:type="spellStart"/>
      <w:r>
        <w:t>coli</w:t>
      </w:r>
      <w:proofErr w:type="spellEnd"/>
      <w:r>
        <w:t xml:space="preserve"> (troligast)</w:t>
      </w:r>
      <w:r w:rsidR="00837EDB">
        <w:t>, s</w:t>
      </w:r>
      <w:r w:rsidR="00A04D14">
        <w:t>.</w:t>
      </w:r>
      <w:r w:rsidR="00837EDB">
        <w:t xml:space="preserve"> </w:t>
      </w:r>
      <w:proofErr w:type="spellStart"/>
      <w:r w:rsidR="00837EDB">
        <w:t>saprophyticus</w:t>
      </w:r>
      <w:proofErr w:type="spellEnd"/>
    </w:p>
    <w:p w:rsidR="00D902C7" w:rsidRDefault="00D902C7" w:rsidP="001074FD">
      <w:pPr>
        <w:pStyle w:val="NoSpacing"/>
      </w:pPr>
      <w:r>
        <w:t>Symtom: sveda, täta trängninga</w:t>
      </w:r>
      <w:r w:rsidR="00837EDB">
        <w:t xml:space="preserve">r, frekventa </w:t>
      </w:r>
      <w:proofErr w:type="spellStart"/>
      <w:r w:rsidR="00837EDB">
        <w:t>miktioner</w:t>
      </w:r>
      <w:proofErr w:type="spellEnd"/>
      <w:r w:rsidR="00837EDB">
        <w:t xml:space="preserve">, </w:t>
      </w:r>
      <w:proofErr w:type="spellStart"/>
      <w:r w:rsidR="00837EDB">
        <w:t>afebril</w:t>
      </w:r>
      <w:proofErr w:type="spellEnd"/>
      <w:r w:rsidR="00837EDB">
        <w:t xml:space="preserve">, makroskopisk </w:t>
      </w:r>
      <w:proofErr w:type="spellStart"/>
      <w:r w:rsidR="00837EDB">
        <w:t>hematuri</w:t>
      </w:r>
      <w:proofErr w:type="spellEnd"/>
      <w:r w:rsidR="00837EDB">
        <w:t xml:space="preserve"> (vanligt).</w:t>
      </w:r>
    </w:p>
    <w:p w:rsidR="001074FD" w:rsidRDefault="001074FD" w:rsidP="001074FD">
      <w:pPr>
        <w:pStyle w:val="NoSpacing"/>
      </w:pPr>
      <w:r>
        <w:t>Behandling:</w:t>
      </w:r>
      <w:r w:rsidR="008A5C29">
        <w:t xml:space="preserve"> </w:t>
      </w:r>
      <w:proofErr w:type="spellStart"/>
      <w:r w:rsidR="008A5C29">
        <w:t>Nitrofurantoin</w:t>
      </w:r>
      <w:proofErr w:type="spellEnd"/>
      <w:r w:rsidR="008A5C29">
        <w:t xml:space="preserve"> alt </w:t>
      </w:r>
      <w:proofErr w:type="spellStart"/>
      <w:r w:rsidR="008A5C29">
        <w:t>pivmecillinam</w:t>
      </w:r>
      <w:proofErr w:type="spellEnd"/>
      <w:r w:rsidR="00837EDB">
        <w:t xml:space="preserve"> 3-5 dagar vid förstagångsinfektion</w:t>
      </w:r>
      <w:r w:rsidR="008A5C29">
        <w:t xml:space="preserve"> (</w:t>
      </w:r>
      <w:r w:rsidR="00C26DA1">
        <w:t xml:space="preserve">båda </w:t>
      </w:r>
      <w:r w:rsidR="008A5C29">
        <w:t xml:space="preserve">ok för gravida), </w:t>
      </w:r>
      <w:proofErr w:type="spellStart"/>
      <w:r w:rsidR="008A5C29">
        <w:t>trimetoprim</w:t>
      </w:r>
      <w:proofErr w:type="spellEnd"/>
      <w:r w:rsidR="008A5C29">
        <w:t xml:space="preserve"> (</w:t>
      </w:r>
      <w:proofErr w:type="gramStart"/>
      <w:r w:rsidR="008A5C29">
        <w:t>ej</w:t>
      </w:r>
      <w:proofErr w:type="gramEnd"/>
      <w:r w:rsidR="008A5C29">
        <w:t xml:space="preserve"> gravida)</w:t>
      </w:r>
    </w:p>
    <w:p w:rsidR="008A5C29" w:rsidRPr="001074FD" w:rsidRDefault="008A5C29" w:rsidP="001074FD">
      <w:pPr>
        <w:pStyle w:val="NoSpacing"/>
      </w:pPr>
    </w:p>
    <w:p w:rsidR="008A5C29" w:rsidRDefault="008A5C29" w:rsidP="008A5C29">
      <w:pPr>
        <w:pStyle w:val="Heading4"/>
      </w:pPr>
      <w:r>
        <w:t xml:space="preserve">ESBL-resistenta E. </w:t>
      </w:r>
      <w:proofErr w:type="spellStart"/>
      <w:r>
        <w:t>coli</w:t>
      </w:r>
      <w:proofErr w:type="spellEnd"/>
    </w:p>
    <w:p w:rsidR="008A5C29" w:rsidRPr="00767030" w:rsidRDefault="008A5C29" w:rsidP="008A5C29">
      <w:pPr>
        <w:pStyle w:val="NoSpacing"/>
      </w:pPr>
      <w:r>
        <w:t xml:space="preserve">Vid UVI. </w:t>
      </w:r>
      <w:r w:rsidRPr="00767030">
        <w:t>Som regel resist</w:t>
      </w:r>
      <w:r>
        <w:t xml:space="preserve">ens mot </w:t>
      </w:r>
      <w:proofErr w:type="spellStart"/>
      <w:r>
        <w:t>cefalosporiner</w:t>
      </w:r>
      <w:proofErr w:type="spellEnd"/>
      <w:r>
        <w:t xml:space="preserve"> och ofta </w:t>
      </w:r>
      <w:r w:rsidRPr="00767030">
        <w:t xml:space="preserve">mot </w:t>
      </w:r>
      <w:proofErr w:type="spellStart"/>
      <w:r w:rsidRPr="00767030">
        <w:t>piperacillin</w:t>
      </w:r>
      <w:proofErr w:type="spellEnd"/>
      <w:r w:rsidRPr="00767030">
        <w:t>/</w:t>
      </w:r>
      <w:proofErr w:type="spellStart"/>
      <w:r w:rsidRPr="00767030">
        <w:t>tazobactam</w:t>
      </w:r>
      <w:proofErr w:type="spellEnd"/>
      <w:r w:rsidR="00706972">
        <w:t xml:space="preserve"> (</w:t>
      </w:r>
      <w:proofErr w:type="spellStart"/>
      <w:r w:rsidR="00706972" w:rsidRPr="00904A7E">
        <w:t>Tazocin</w:t>
      </w:r>
      <w:proofErr w:type="spellEnd"/>
      <w:r w:rsidR="00706972">
        <w:t>)</w:t>
      </w:r>
      <w:r w:rsidRPr="00767030">
        <w:t>.</w:t>
      </w:r>
      <w:r w:rsidR="0021070C">
        <w:t xml:space="preserve"> Behandlas </w:t>
      </w:r>
      <w:r>
        <w:t xml:space="preserve">därför med </w:t>
      </w:r>
      <w:proofErr w:type="spellStart"/>
      <w:r>
        <w:t>karbapenemer</w:t>
      </w:r>
      <w:proofErr w:type="spellEnd"/>
      <w:r>
        <w:t>.</w:t>
      </w:r>
    </w:p>
    <w:p w:rsidR="001074FD" w:rsidRDefault="001074FD" w:rsidP="001074FD">
      <w:pPr>
        <w:pStyle w:val="NoSpacing"/>
      </w:pPr>
    </w:p>
    <w:p w:rsidR="001074FD" w:rsidRDefault="00AB577C" w:rsidP="001074FD">
      <w:pPr>
        <w:pStyle w:val="Heading3"/>
      </w:pPr>
      <w:proofErr w:type="spellStart"/>
      <w:r>
        <w:t>Pyelonefrit</w:t>
      </w:r>
      <w:proofErr w:type="spellEnd"/>
      <w:r>
        <w:t xml:space="preserve"> (</w:t>
      </w:r>
      <w:r w:rsidR="001074FD">
        <w:t>hög</w:t>
      </w:r>
      <w:r>
        <w:t>/övre/proximal</w:t>
      </w:r>
      <w:r w:rsidR="001074FD">
        <w:t xml:space="preserve"> UVI</w:t>
      </w:r>
      <w:r>
        <w:t>)</w:t>
      </w:r>
    </w:p>
    <w:p w:rsidR="001074FD" w:rsidRDefault="001074FD" w:rsidP="001074FD">
      <w:pPr>
        <w:pStyle w:val="NoSpacing"/>
      </w:pPr>
      <w:r>
        <w:t xml:space="preserve">Etiologi: E. </w:t>
      </w:r>
      <w:proofErr w:type="spellStart"/>
      <w:r>
        <w:t>coli</w:t>
      </w:r>
      <w:proofErr w:type="spellEnd"/>
      <w:r>
        <w:t xml:space="preserve"> (troligast)</w:t>
      </w:r>
      <w:r w:rsidR="00924818">
        <w:t xml:space="preserve"> [nitritproducerande]</w:t>
      </w:r>
    </w:p>
    <w:p w:rsidR="00D902C7" w:rsidRDefault="00D902C7" w:rsidP="001074FD">
      <w:pPr>
        <w:pStyle w:val="NoSpacing"/>
      </w:pPr>
      <w:r>
        <w:t xml:space="preserve">Symtom: feber, dunkömhet njurlogerna, </w:t>
      </w:r>
      <w:proofErr w:type="spellStart"/>
      <w:r>
        <w:t>miktionsbesvär</w:t>
      </w:r>
      <w:proofErr w:type="spellEnd"/>
      <w:r>
        <w:t xml:space="preserve"> initialt, illamående/kräkning</w:t>
      </w:r>
    </w:p>
    <w:p w:rsidR="008A5C29" w:rsidRDefault="001074FD" w:rsidP="001074FD">
      <w:pPr>
        <w:pStyle w:val="NoSpacing"/>
      </w:pPr>
      <w:r>
        <w:t xml:space="preserve">Behandling: </w:t>
      </w:r>
      <w:proofErr w:type="spellStart"/>
      <w:r>
        <w:t>cefalosporiner</w:t>
      </w:r>
      <w:proofErr w:type="spellEnd"/>
      <w:r>
        <w:t xml:space="preserve"> vid graviditet</w:t>
      </w:r>
      <w:r w:rsidR="008A5C29">
        <w:t xml:space="preserve">, </w:t>
      </w:r>
    </w:p>
    <w:p w:rsidR="00D902C7" w:rsidRDefault="00D902C7" w:rsidP="001074FD">
      <w:pPr>
        <w:pStyle w:val="NoSpacing"/>
      </w:pPr>
      <w:r>
        <w:t xml:space="preserve">PO: </w:t>
      </w:r>
      <w:proofErr w:type="spellStart"/>
      <w:r w:rsidRPr="00D902C7">
        <w:rPr>
          <w:b/>
        </w:rPr>
        <w:t>C</w:t>
      </w:r>
      <w:r w:rsidR="008A5C29" w:rsidRPr="00D902C7">
        <w:rPr>
          <w:b/>
        </w:rPr>
        <w:t>iprofloxacin</w:t>
      </w:r>
      <w:proofErr w:type="spellEnd"/>
      <w:r w:rsidR="00AD2413">
        <w:rPr>
          <w:b/>
        </w:rPr>
        <w:t xml:space="preserve"> 7 dagar</w:t>
      </w:r>
      <w:r>
        <w:t xml:space="preserve"> alt </w:t>
      </w:r>
      <w:proofErr w:type="spellStart"/>
      <w:r>
        <w:t>trimetoprim</w:t>
      </w:r>
      <w:proofErr w:type="spellEnd"/>
      <w:r>
        <w:t>-sulfa (</w:t>
      </w:r>
      <w:proofErr w:type="spellStart"/>
      <w:r>
        <w:t>bactrim</w:t>
      </w:r>
      <w:proofErr w:type="spellEnd"/>
      <w:r>
        <w:t xml:space="preserve">) alt </w:t>
      </w:r>
      <w:proofErr w:type="spellStart"/>
      <w:r>
        <w:t>ceftibuten</w:t>
      </w:r>
      <w:proofErr w:type="spellEnd"/>
    </w:p>
    <w:p w:rsidR="001074FD" w:rsidRDefault="00D902C7" w:rsidP="001074FD">
      <w:pPr>
        <w:pStyle w:val="NoSpacing"/>
      </w:pPr>
      <w:r>
        <w:t xml:space="preserve">IV: </w:t>
      </w:r>
      <w:proofErr w:type="spellStart"/>
      <w:r>
        <w:rPr>
          <w:b/>
        </w:rPr>
        <w:t>C</w:t>
      </w:r>
      <w:r w:rsidR="008A5C29" w:rsidRPr="00D902C7">
        <w:rPr>
          <w:b/>
        </w:rPr>
        <w:t>efotaxim</w:t>
      </w:r>
      <w:proofErr w:type="spellEnd"/>
      <w:r>
        <w:t xml:space="preserve"> alt </w:t>
      </w:r>
      <w:proofErr w:type="spellStart"/>
      <w:r w:rsidRPr="00D902C7">
        <w:rPr>
          <w:b/>
        </w:rPr>
        <w:t>piperacillin</w:t>
      </w:r>
      <w:proofErr w:type="spellEnd"/>
      <w:r w:rsidRPr="00D902C7">
        <w:rPr>
          <w:b/>
        </w:rPr>
        <w:t>/</w:t>
      </w:r>
      <w:proofErr w:type="spellStart"/>
      <w:r w:rsidRPr="00D902C7">
        <w:rPr>
          <w:b/>
        </w:rPr>
        <w:t>tazobactam</w:t>
      </w:r>
      <w:proofErr w:type="spellEnd"/>
      <w:r w:rsidR="00706972">
        <w:rPr>
          <w:b/>
        </w:rPr>
        <w:t xml:space="preserve"> (</w:t>
      </w:r>
      <w:proofErr w:type="spellStart"/>
      <w:r w:rsidR="00706972" w:rsidRPr="00706972">
        <w:rPr>
          <w:b/>
        </w:rPr>
        <w:t>Tazocin</w:t>
      </w:r>
      <w:proofErr w:type="spellEnd"/>
      <w:r w:rsidR="00706972" w:rsidRPr="00706972">
        <w:rPr>
          <w:b/>
        </w:rPr>
        <w:t>)</w:t>
      </w:r>
      <w:r>
        <w:t xml:space="preserve"> (vid misstanke om </w:t>
      </w:r>
      <w:proofErr w:type="spellStart"/>
      <w:r>
        <w:t>pseudomonas</w:t>
      </w:r>
      <w:proofErr w:type="spellEnd"/>
      <w:r>
        <w:t xml:space="preserve"> eller ESBL)</w:t>
      </w:r>
    </w:p>
    <w:p w:rsidR="00AB577C" w:rsidRDefault="00AB577C" w:rsidP="001074FD">
      <w:pPr>
        <w:pStyle w:val="NoSpacing"/>
      </w:pPr>
      <w:r>
        <w:t>Komplikationer: avstängd pyelit (njursten) =&gt; UL-njurar som åtgärd</w:t>
      </w:r>
    </w:p>
    <w:p w:rsidR="001074FD" w:rsidRPr="001074FD" w:rsidRDefault="001074FD" w:rsidP="001074FD"/>
    <w:p w:rsidR="00EB55AA" w:rsidRDefault="00EB55AA" w:rsidP="00EB55AA">
      <w:pPr>
        <w:pStyle w:val="Heading2"/>
      </w:pPr>
      <w:r>
        <w:t>CNS-infektioner</w:t>
      </w:r>
    </w:p>
    <w:p w:rsidR="00EB55AA" w:rsidRDefault="00EB55AA" w:rsidP="00EB55AA">
      <w:pPr>
        <w:pStyle w:val="Heading3"/>
      </w:pPr>
      <w:r>
        <w:t>Borrelia</w:t>
      </w:r>
    </w:p>
    <w:p w:rsidR="006D61A8" w:rsidRDefault="00A71D04" w:rsidP="006D61A8">
      <w:pPr>
        <w:pStyle w:val="Heading4"/>
      </w:pPr>
      <w:proofErr w:type="spellStart"/>
      <w:r>
        <w:t>Erythema</w:t>
      </w:r>
      <w:proofErr w:type="spellEnd"/>
      <w:r>
        <w:t xml:space="preserve"> </w:t>
      </w:r>
      <w:proofErr w:type="spellStart"/>
      <w:r>
        <w:t>chronicum</w:t>
      </w:r>
      <w:proofErr w:type="spellEnd"/>
      <w:r>
        <w:t xml:space="preserve"> </w:t>
      </w:r>
      <w:proofErr w:type="spellStart"/>
      <w:r>
        <w:t>migrans</w:t>
      </w:r>
      <w:proofErr w:type="spellEnd"/>
    </w:p>
    <w:p w:rsidR="006D61A8" w:rsidRDefault="006D61A8" w:rsidP="00EB55AA">
      <w:pPr>
        <w:pStyle w:val="NoSpacing"/>
      </w:pPr>
      <w:r w:rsidRPr="006D61A8">
        <w:t>Symtom: ringformad rodnad</w:t>
      </w:r>
      <w:r w:rsidR="009E66CE">
        <w:t xml:space="preserve"> med central </w:t>
      </w:r>
      <w:proofErr w:type="spellStart"/>
      <w:r w:rsidR="009E66CE">
        <w:t>avblekning</w:t>
      </w:r>
      <w:proofErr w:type="spellEnd"/>
      <w:r w:rsidR="009E66CE">
        <w:t xml:space="preserve"> efter fästingbett</w:t>
      </w:r>
      <w:r>
        <w:t>.</w:t>
      </w:r>
    </w:p>
    <w:p w:rsidR="006D61A8" w:rsidRDefault="006D61A8" w:rsidP="00EB55AA">
      <w:pPr>
        <w:pStyle w:val="NoSpacing"/>
      </w:pPr>
      <w:r>
        <w:t xml:space="preserve">Diagnos: klinisk diagnos (inga prover) </w:t>
      </w:r>
    </w:p>
    <w:p w:rsidR="006D61A8" w:rsidRDefault="006D61A8" w:rsidP="00EB55AA">
      <w:pPr>
        <w:pStyle w:val="NoSpacing"/>
      </w:pPr>
      <w:r>
        <w:t xml:space="preserve">Behandling: </w:t>
      </w:r>
      <w:proofErr w:type="spellStart"/>
      <w:r>
        <w:t>PcV</w:t>
      </w:r>
      <w:proofErr w:type="spellEnd"/>
    </w:p>
    <w:p w:rsidR="00EB55AA" w:rsidRDefault="006759B4" w:rsidP="00EB55AA">
      <w:pPr>
        <w:pStyle w:val="NoSpacing"/>
      </w:pPr>
      <w:r>
        <w:t>”</w:t>
      </w:r>
      <w:r w:rsidR="00EB55AA">
        <w:t>Profylax</w:t>
      </w:r>
      <w:r>
        <w:t>”</w:t>
      </w:r>
      <w:r w:rsidR="00EB55AA">
        <w:t xml:space="preserve"> mot borrelia: ta bort fästingen snabbt</w:t>
      </w:r>
      <w:r w:rsidR="009E66CE">
        <w:t>.</w:t>
      </w:r>
    </w:p>
    <w:p w:rsidR="00F171F9" w:rsidRDefault="00F171F9" w:rsidP="00EB55AA">
      <w:pPr>
        <w:pStyle w:val="NoSpacing"/>
      </w:pPr>
    </w:p>
    <w:p w:rsidR="009E66CE" w:rsidRDefault="009E66CE" w:rsidP="009E66CE">
      <w:pPr>
        <w:pStyle w:val="Heading4"/>
      </w:pPr>
      <w:proofErr w:type="spellStart"/>
      <w:r>
        <w:t>Neuroborrelios</w:t>
      </w:r>
      <w:proofErr w:type="spellEnd"/>
    </w:p>
    <w:p w:rsidR="009E66CE" w:rsidRDefault="009E66CE" w:rsidP="009E66CE">
      <w:pPr>
        <w:pStyle w:val="NoSpacing"/>
      </w:pPr>
      <w:r>
        <w:t>Symtom: meningitsymtom (huvudvärk, nackvärk, trötthet, aptitlöshet, ibland kräkningar), smärta, kranialnervs</w:t>
      </w:r>
      <w:r w:rsidR="00837EDB">
        <w:t>parser, sensibilitetsrubbningar, flera månaders inkubationstid, subfebril.</w:t>
      </w:r>
    </w:p>
    <w:p w:rsidR="009E66CE" w:rsidRDefault="009E66CE" w:rsidP="009E66CE">
      <w:pPr>
        <w:pStyle w:val="NoSpacing"/>
      </w:pPr>
      <w:r>
        <w:t>Diagnos: LP (vid misstanke om neurologisk sjukdom)</w:t>
      </w:r>
    </w:p>
    <w:p w:rsidR="009E66CE" w:rsidRPr="009E66CE" w:rsidRDefault="009E66CE" w:rsidP="009E66CE">
      <w:pPr>
        <w:pStyle w:val="NoSpacing"/>
      </w:pPr>
      <w:r>
        <w:lastRenderedPageBreak/>
        <w:t xml:space="preserve">Behandling: </w:t>
      </w:r>
      <w:proofErr w:type="spellStart"/>
      <w:r>
        <w:t>doxycyklin</w:t>
      </w:r>
      <w:proofErr w:type="spellEnd"/>
      <w:r w:rsidR="0070720A">
        <w:t xml:space="preserve"> </w:t>
      </w:r>
      <w:proofErr w:type="spellStart"/>
      <w:r w:rsidR="0070720A">
        <w:t>po</w:t>
      </w:r>
      <w:proofErr w:type="spellEnd"/>
    </w:p>
    <w:p w:rsidR="00EB55AA" w:rsidRPr="00EB55AA" w:rsidRDefault="00EB55AA" w:rsidP="00EB55AA">
      <w:pPr>
        <w:pStyle w:val="NoSpacing"/>
      </w:pPr>
    </w:p>
    <w:p w:rsidR="00EB55AA" w:rsidRDefault="00EB55AA" w:rsidP="00EB55AA">
      <w:pPr>
        <w:pStyle w:val="Heading3"/>
      </w:pPr>
      <w:proofErr w:type="spellStart"/>
      <w:r>
        <w:t>Hjärnabcess</w:t>
      </w:r>
      <w:proofErr w:type="spellEnd"/>
    </w:p>
    <w:p w:rsidR="00EB55AA" w:rsidRDefault="00EB55AA" w:rsidP="00FA1999">
      <w:pPr>
        <w:pStyle w:val="NoSpacing"/>
      </w:pPr>
      <w:r>
        <w:t xml:space="preserve">Symtom: Huvudvärk, fokal neurologi, feber, </w:t>
      </w:r>
      <w:r w:rsidR="00FA1999">
        <w:t>epilepsi/</w:t>
      </w:r>
      <w:r>
        <w:t>kramper, illamående/kräkni</w:t>
      </w:r>
      <w:r w:rsidR="00FA1999">
        <w:t xml:space="preserve">ngar, meningitsymtom vid </w:t>
      </w:r>
      <w:proofErr w:type="spellStart"/>
      <w:r w:rsidR="00FA1999">
        <w:t>rumptur</w:t>
      </w:r>
      <w:proofErr w:type="spellEnd"/>
      <w:r w:rsidR="00FA1999">
        <w:t>, medvetandesänkning.</w:t>
      </w:r>
    </w:p>
    <w:p w:rsidR="00FA1999" w:rsidRDefault="00FA1999" w:rsidP="00FA1999">
      <w:pPr>
        <w:pStyle w:val="NoSpacing"/>
      </w:pPr>
    </w:p>
    <w:p w:rsidR="00EB55AA" w:rsidRDefault="00EB55AA" w:rsidP="00EB55AA">
      <w:pPr>
        <w:pStyle w:val="Heading3"/>
      </w:pPr>
      <w:r>
        <w:t>Bakteriell meningit</w:t>
      </w:r>
    </w:p>
    <w:p w:rsidR="00EB55AA" w:rsidRDefault="00EB55AA" w:rsidP="00EB55AA">
      <w:pPr>
        <w:pStyle w:val="NoSpacing"/>
      </w:pPr>
      <w:r>
        <w:t xml:space="preserve">Symtom: </w:t>
      </w:r>
      <w:r w:rsidR="00700E62">
        <w:t>Oftast akut debut (timmar -</w:t>
      </w:r>
      <w:r w:rsidR="00FA1999">
        <w:t xml:space="preserve"> enstaka dygn), kraftig huvudvärk, feber, </w:t>
      </w:r>
      <w:r>
        <w:t>illamående/kräkningar,</w:t>
      </w:r>
      <w:r w:rsidR="00FA1999">
        <w:t xml:space="preserve"> AT-påverkan, </w:t>
      </w:r>
      <w:r w:rsidR="00BD2A48">
        <w:t xml:space="preserve">nackstelhet, </w:t>
      </w:r>
      <w:r w:rsidR="00FA1999">
        <w:t>medvetandesänkning,</w:t>
      </w:r>
      <w:r>
        <w:t xml:space="preserve"> ljus-/</w:t>
      </w:r>
      <w:proofErr w:type="spellStart"/>
      <w:r>
        <w:t>ljudskygghet</w:t>
      </w:r>
      <w:proofErr w:type="spellEnd"/>
      <w:r>
        <w:t xml:space="preserve">, symtom från öron/bihålor, kognitiva symtom, kramper, fokal neurologi, septiska symtom, </w:t>
      </w:r>
      <w:proofErr w:type="spellStart"/>
      <w:r>
        <w:t>petekier</w:t>
      </w:r>
      <w:proofErr w:type="spellEnd"/>
      <w:r>
        <w:t>.</w:t>
      </w:r>
    </w:p>
    <w:p w:rsidR="00FA1999" w:rsidRDefault="00FA1999" w:rsidP="00EB55AA">
      <w:pPr>
        <w:pStyle w:val="NoSpacing"/>
      </w:pPr>
      <w:r>
        <w:t>Klinik: hög puls, hypotoni vid samtidig sepsis (vid högt ICP ses hypertoni och låg puls),</w:t>
      </w:r>
    </w:p>
    <w:p w:rsidR="00EB55AA" w:rsidRDefault="00EB55AA" w:rsidP="00EB55AA">
      <w:pPr>
        <w:pStyle w:val="NoSpacing"/>
      </w:pPr>
      <w:r>
        <w:t xml:space="preserve">Undersökningar: </w:t>
      </w:r>
      <w:r w:rsidR="00F171F9">
        <w:t xml:space="preserve">LP, </w:t>
      </w:r>
      <w:r>
        <w:t xml:space="preserve">blododling, </w:t>
      </w:r>
      <w:proofErr w:type="spellStart"/>
      <w:r>
        <w:t>likvorodling</w:t>
      </w:r>
      <w:proofErr w:type="spellEnd"/>
      <w:r>
        <w:t>.</w:t>
      </w:r>
    </w:p>
    <w:p w:rsidR="00EB55AA" w:rsidRDefault="00EB55AA" w:rsidP="00EB55AA">
      <w:pPr>
        <w:pStyle w:val="NoSpacing"/>
      </w:pPr>
      <w:r>
        <w:t xml:space="preserve">Behandling: </w:t>
      </w:r>
      <w:proofErr w:type="spellStart"/>
      <w:r>
        <w:t>Cefotaxim</w:t>
      </w:r>
      <w:proofErr w:type="spellEnd"/>
      <w:r>
        <w:t xml:space="preserve"> </w:t>
      </w:r>
      <w:r w:rsidR="00C55E26">
        <w:t xml:space="preserve">3g x 4 </w:t>
      </w:r>
      <w:r>
        <w:t xml:space="preserve">+ </w:t>
      </w:r>
      <w:proofErr w:type="spellStart"/>
      <w:r>
        <w:t>ampicillin</w:t>
      </w:r>
      <w:proofErr w:type="spellEnd"/>
      <w:r w:rsidR="00C55E26">
        <w:t xml:space="preserve"> 3g x 4 alt enbart </w:t>
      </w:r>
      <w:proofErr w:type="spellStart"/>
      <w:r>
        <w:t>meropenem</w:t>
      </w:r>
      <w:proofErr w:type="spellEnd"/>
      <w:r w:rsidR="00C55E26">
        <w:t xml:space="preserve"> 2g x 3</w:t>
      </w:r>
      <w:r>
        <w:t>, steroider</w:t>
      </w:r>
      <w:r w:rsidR="00C55E26">
        <w:t xml:space="preserve"> 0,15 mg/kg</w:t>
      </w:r>
      <w:r w:rsidR="00020DEA">
        <w:t xml:space="preserve"> x4 (max 10 mg per dos)</w:t>
      </w:r>
      <w:r w:rsidR="00C55E26">
        <w:t xml:space="preserve"> i fyra dygn</w:t>
      </w:r>
    </w:p>
    <w:p w:rsidR="00F171F9" w:rsidRDefault="00F171F9" w:rsidP="00EB55AA">
      <w:pPr>
        <w:pStyle w:val="NoSpacing"/>
      </w:pPr>
      <w:r>
        <w:t xml:space="preserve">(för att täcka pneumokocker, h. </w:t>
      </w:r>
      <w:proofErr w:type="spellStart"/>
      <w:r>
        <w:t>influenzae</w:t>
      </w:r>
      <w:proofErr w:type="spellEnd"/>
      <w:r>
        <w:t xml:space="preserve">, </w:t>
      </w:r>
      <w:proofErr w:type="spellStart"/>
      <w:r>
        <w:t>meningokocker</w:t>
      </w:r>
      <w:proofErr w:type="spellEnd"/>
      <w:r>
        <w:t xml:space="preserve">, </w:t>
      </w:r>
      <w:proofErr w:type="spellStart"/>
      <w:r>
        <w:t>listeria</w:t>
      </w:r>
      <w:proofErr w:type="spellEnd"/>
      <w:r>
        <w:t>)</w:t>
      </w:r>
    </w:p>
    <w:p w:rsidR="00EB55AA" w:rsidRDefault="00EB55AA" w:rsidP="00EB55AA">
      <w:pPr>
        <w:pStyle w:val="NoSpacing"/>
      </w:pPr>
      <w:r>
        <w:t xml:space="preserve">Handläggning: neurokirurgkonsult för </w:t>
      </w:r>
      <w:proofErr w:type="spellStart"/>
      <w:r>
        <w:t>ev</w:t>
      </w:r>
      <w:proofErr w:type="spellEnd"/>
      <w:r>
        <w:t xml:space="preserve"> inläggande av ventrikeldränage.</w:t>
      </w:r>
    </w:p>
    <w:p w:rsidR="00EB55AA" w:rsidRDefault="000519A0" w:rsidP="00EB55AA">
      <w:pPr>
        <w:pStyle w:val="NoSpacing"/>
      </w:pPr>
      <w:r>
        <w:t xml:space="preserve">Komplikation: hörselnedsättning (vanligaste </w:t>
      </w:r>
      <w:proofErr w:type="spellStart"/>
      <w:r>
        <w:t>sequele</w:t>
      </w:r>
      <w:proofErr w:type="spellEnd"/>
      <w:r>
        <w:t>).</w:t>
      </w:r>
    </w:p>
    <w:p w:rsidR="000519A0" w:rsidRDefault="000519A0" w:rsidP="00EB55AA">
      <w:pPr>
        <w:pStyle w:val="NoSpacing"/>
      </w:pPr>
    </w:p>
    <w:p w:rsidR="005750DD" w:rsidRDefault="005750DD" w:rsidP="00EB55AA">
      <w:pPr>
        <w:pStyle w:val="NoSpacing"/>
      </w:pPr>
      <w:r>
        <w:t xml:space="preserve">Hög dos antibiotika vid </w:t>
      </w:r>
      <w:r w:rsidR="003F08A6">
        <w:t xml:space="preserve">bakteriell meningit. Svårt att nå terapeutiska koncentrationer i </w:t>
      </w:r>
      <w:proofErr w:type="spellStart"/>
      <w:r w:rsidR="003F08A6">
        <w:t>likvor</w:t>
      </w:r>
      <w:proofErr w:type="spellEnd"/>
      <w:r w:rsidR="003F08A6">
        <w:t xml:space="preserve"> </w:t>
      </w:r>
      <w:proofErr w:type="spellStart"/>
      <w:r w:rsidR="003F08A6">
        <w:t>pga</w:t>
      </w:r>
      <w:proofErr w:type="spellEnd"/>
      <w:r w:rsidR="003F08A6">
        <w:t xml:space="preserve"> blod-</w:t>
      </w:r>
      <w:proofErr w:type="spellStart"/>
      <w:r w:rsidR="003F08A6">
        <w:t>likvorbarriären</w:t>
      </w:r>
      <w:proofErr w:type="spellEnd"/>
      <w:r w:rsidR="003F08A6">
        <w:t xml:space="preserve">. Endast en del av antibiotikan i blod passerar. </w:t>
      </w:r>
      <w:r w:rsidR="005847C6">
        <w:t>Vid mening</w:t>
      </w:r>
      <w:r w:rsidR="003F08A6">
        <w:t>it</w:t>
      </w:r>
      <w:r w:rsidR="005847C6">
        <w:t xml:space="preserve"> ökar genomsläpplighet för </w:t>
      </w:r>
      <w:r w:rsidR="003F08A6">
        <w:t>antibiotika, men vid effekt av terapi försämras åter genomsläppligheten av</w:t>
      </w:r>
      <w:r w:rsidR="00EF137F">
        <w:t xml:space="preserve"> antibiotika, varför man inte s</w:t>
      </w:r>
      <w:r w:rsidR="003F08A6">
        <w:t>k</w:t>
      </w:r>
      <w:r w:rsidR="00EF137F">
        <w:t>a</w:t>
      </w:r>
      <w:r w:rsidR="003F08A6">
        <w:t xml:space="preserve"> minska dosen.</w:t>
      </w:r>
    </w:p>
    <w:p w:rsidR="005750DD" w:rsidRDefault="005750DD" w:rsidP="00EB55AA">
      <w:pPr>
        <w:pStyle w:val="NoSpacing"/>
      </w:pPr>
    </w:p>
    <w:p w:rsidR="00EB55AA" w:rsidRPr="00046B33" w:rsidRDefault="00EB55AA" w:rsidP="00EB55AA">
      <w:pPr>
        <w:pStyle w:val="Heading3"/>
      </w:pPr>
      <w:r>
        <w:t>Virala CNS-infektioner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EB55AA" w:rsidRPr="0011268B" w:rsidTr="00D4265B">
        <w:tc>
          <w:tcPr>
            <w:tcW w:w="2263" w:type="dxa"/>
          </w:tcPr>
          <w:p w:rsidR="00EB55AA" w:rsidRPr="0011268B" w:rsidRDefault="00EB55AA" w:rsidP="00D4265B">
            <w:pPr>
              <w:pStyle w:val="NoSpacing"/>
              <w:rPr>
                <w:b/>
              </w:rPr>
            </w:pPr>
            <w:r w:rsidRPr="0011268B">
              <w:rPr>
                <w:b/>
              </w:rPr>
              <w:t>Meningit</w:t>
            </w:r>
          </w:p>
        </w:tc>
        <w:tc>
          <w:tcPr>
            <w:tcW w:w="2410" w:type="dxa"/>
          </w:tcPr>
          <w:p w:rsidR="00EB55AA" w:rsidRPr="0011268B" w:rsidRDefault="00EB55AA" w:rsidP="00D4265B">
            <w:pPr>
              <w:pStyle w:val="NoSpacing"/>
              <w:rPr>
                <w:b/>
              </w:rPr>
            </w:pPr>
            <w:r w:rsidRPr="0011268B">
              <w:rPr>
                <w:b/>
              </w:rPr>
              <w:t>Encefalit</w:t>
            </w:r>
          </w:p>
        </w:tc>
      </w:tr>
      <w:tr w:rsidR="00EB55AA" w:rsidTr="00D4265B">
        <w:tc>
          <w:tcPr>
            <w:tcW w:w="4673" w:type="dxa"/>
            <w:gridSpan w:val="2"/>
          </w:tcPr>
          <w:p w:rsidR="00EB55AA" w:rsidRDefault="00EB55AA" w:rsidP="00D4265B">
            <w:pPr>
              <w:pStyle w:val="NoSpacing"/>
              <w:jc w:val="center"/>
            </w:pPr>
            <w:r>
              <w:t>Feber</w:t>
            </w:r>
          </w:p>
        </w:tc>
      </w:tr>
      <w:tr w:rsidR="00EB55AA" w:rsidTr="00D4265B">
        <w:tc>
          <w:tcPr>
            <w:tcW w:w="4673" w:type="dxa"/>
            <w:gridSpan w:val="2"/>
          </w:tcPr>
          <w:p w:rsidR="00EB55AA" w:rsidRDefault="00EB55AA" w:rsidP="00D4265B">
            <w:pPr>
              <w:pStyle w:val="NoSpacing"/>
              <w:jc w:val="center"/>
            </w:pPr>
            <w:r>
              <w:t>Huvudvärk</w:t>
            </w:r>
          </w:p>
        </w:tc>
      </w:tr>
      <w:tr w:rsidR="00EB55AA" w:rsidTr="00D4265B">
        <w:tc>
          <w:tcPr>
            <w:tcW w:w="2263" w:type="dxa"/>
          </w:tcPr>
          <w:p w:rsidR="00EB55AA" w:rsidRDefault="00EB55AA" w:rsidP="00D4265B">
            <w:pPr>
              <w:pStyle w:val="NoSpacing"/>
            </w:pPr>
            <w:r>
              <w:t>Illamående/kräkningar</w:t>
            </w:r>
          </w:p>
        </w:tc>
        <w:tc>
          <w:tcPr>
            <w:tcW w:w="2410" w:type="dxa"/>
          </w:tcPr>
          <w:p w:rsidR="00EB55AA" w:rsidRDefault="00EB55AA" w:rsidP="00D4265B">
            <w:pPr>
              <w:pStyle w:val="NoSpacing"/>
            </w:pPr>
            <w:r>
              <w:t>Kramper</w:t>
            </w:r>
          </w:p>
        </w:tc>
      </w:tr>
      <w:tr w:rsidR="00EB55AA" w:rsidTr="00D4265B">
        <w:tc>
          <w:tcPr>
            <w:tcW w:w="2263" w:type="dxa"/>
          </w:tcPr>
          <w:p w:rsidR="00EB55AA" w:rsidRDefault="00EB55AA" w:rsidP="00D4265B">
            <w:pPr>
              <w:pStyle w:val="NoSpacing"/>
            </w:pPr>
            <w:r>
              <w:t>Ljus-/</w:t>
            </w:r>
            <w:proofErr w:type="spellStart"/>
            <w:r>
              <w:t>ljudskygghet</w:t>
            </w:r>
            <w:proofErr w:type="spellEnd"/>
          </w:p>
        </w:tc>
        <w:tc>
          <w:tcPr>
            <w:tcW w:w="2410" w:type="dxa"/>
          </w:tcPr>
          <w:p w:rsidR="00EB55AA" w:rsidRDefault="00EB55AA" w:rsidP="00D4265B">
            <w:pPr>
              <w:pStyle w:val="NoSpacing"/>
            </w:pPr>
            <w:r>
              <w:t>Medvetandesänkning</w:t>
            </w:r>
          </w:p>
        </w:tc>
      </w:tr>
      <w:tr w:rsidR="00EB55AA" w:rsidTr="00D4265B">
        <w:tc>
          <w:tcPr>
            <w:tcW w:w="2263" w:type="dxa"/>
          </w:tcPr>
          <w:p w:rsidR="00EB55AA" w:rsidRDefault="00EB55AA" w:rsidP="00D4265B">
            <w:pPr>
              <w:pStyle w:val="NoSpacing"/>
            </w:pPr>
            <w:r>
              <w:t>Nackstyvhet</w:t>
            </w:r>
          </w:p>
        </w:tc>
        <w:tc>
          <w:tcPr>
            <w:tcW w:w="2410" w:type="dxa"/>
          </w:tcPr>
          <w:p w:rsidR="00EB55AA" w:rsidRDefault="00EB55AA" w:rsidP="00D4265B">
            <w:pPr>
              <w:pStyle w:val="NoSpacing"/>
            </w:pPr>
            <w:r>
              <w:t>Irritabilitet</w:t>
            </w:r>
          </w:p>
        </w:tc>
      </w:tr>
      <w:tr w:rsidR="00EB55AA" w:rsidTr="00D4265B">
        <w:tc>
          <w:tcPr>
            <w:tcW w:w="2263" w:type="dxa"/>
          </w:tcPr>
          <w:p w:rsidR="00EB55AA" w:rsidRDefault="00EB55AA" w:rsidP="00D4265B">
            <w:pPr>
              <w:pStyle w:val="NoSpacing"/>
            </w:pPr>
          </w:p>
        </w:tc>
        <w:tc>
          <w:tcPr>
            <w:tcW w:w="2410" w:type="dxa"/>
          </w:tcPr>
          <w:p w:rsidR="00EB55AA" w:rsidRDefault="00EB55AA" w:rsidP="00D4265B">
            <w:pPr>
              <w:pStyle w:val="NoSpacing"/>
            </w:pPr>
            <w:r>
              <w:t>Kognitiva, psykiska symtom</w:t>
            </w:r>
          </w:p>
        </w:tc>
      </w:tr>
      <w:tr w:rsidR="00EB55AA" w:rsidTr="00D4265B">
        <w:tc>
          <w:tcPr>
            <w:tcW w:w="2263" w:type="dxa"/>
          </w:tcPr>
          <w:p w:rsidR="00EB55AA" w:rsidRDefault="00EB55AA" w:rsidP="00D4265B">
            <w:pPr>
              <w:pStyle w:val="NoSpacing"/>
            </w:pPr>
          </w:p>
        </w:tc>
        <w:tc>
          <w:tcPr>
            <w:tcW w:w="2410" w:type="dxa"/>
          </w:tcPr>
          <w:p w:rsidR="00EB55AA" w:rsidRDefault="00EB55AA" w:rsidP="00D4265B">
            <w:pPr>
              <w:pStyle w:val="NoSpacing"/>
            </w:pPr>
            <w:r>
              <w:t>Fokalneurologi</w:t>
            </w:r>
          </w:p>
        </w:tc>
      </w:tr>
    </w:tbl>
    <w:p w:rsidR="00EB55AA" w:rsidRDefault="00EB55AA" w:rsidP="00EB55AA">
      <w:pPr>
        <w:pStyle w:val="NoSpacing"/>
      </w:pPr>
    </w:p>
    <w:p w:rsidR="00EB55AA" w:rsidRDefault="00EB55AA" w:rsidP="00EB55AA">
      <w:pPr>
        <w:pStyle w:val="NoSpacing"/>
      </w:pPr>
      <w:r>
        <w:t>TBE, HSV1 orsakar encefalit i högre utsträckning än enterovirus, VZV, HSV2, EBV.</w:t>
      </w:r>
    </w:p>
    <w:p w:rsidR="00193C7B" w:rsidRDefault="00193C7B" w:rsidP="00EB55AA">
      <w:pPr>
        <w:pStyle w:val="NoSpacing"/>
      </w:pPr>
      <w:r>
        <w:t>HSV1 ger encefalit. HSV2 ger serös meningit.</w:t>
      </w:r>
    </w:p>
    <w:p w:rsidR="007C3CF8" w:rsidRDefault="007C3CF8" w:rsidP="00EB55AA">
      <w:pPr>
        <w:pStyle w:val="NoSpacing"/>
      </w:pPr>
      <w:r>
        <w:t xml:space="preserve">Enterovirus och TBE har </w:t>
      </w:r>
      <w:proofErr w:type="spellStart"/>
      <w:r>
        <w:t>bifasiskt</w:t>
      </w:r>
      <w:proofErr w:type="spellEnd"/>
      <w:r>
        <w:t xml:space="preserve"> förlopp.</w:t>
      </w:r>
    </w:p>
    <w:p w:rsidR="007C3CF8" w:rsidRDefault="007C3CF8" w:rsidP="00EB55AA">
      <w:pPr>
        <w:pStyle w:val="NoSpacing"/>
      </w:pPr>
      <w:r>
        <w:t>Enterovirus vanligaste meningiten.</w:t>
      </w:r>
    </w:p>
    <w:p w:rsidR="00837EDB" w:rsidRDefault="00837EDB" w:rsidP="00EB55AA">
      <w:pPr>
        <w:pStyle w:val="NoSpacing"/>
      </w:pPr>
      <w:r>
        <w:t xml:space="preserve">TBE ca 14 dagars inkubationstid. </w:t>
      </w:r>
      <w:proofErr w:type="spellStart"/>
      <w:r>
        <w:t>Högfeber</w:t>
      </w:r>
      <w:proofErr w:type="spellEnd"/>
      <w:r>
        <w:t>. Vaccination som profylax.</w:t>
      </w:r>
    </w:p>
    <w:p w:rsidR="00EB55AA" w:rsidRDefault="00EB55AA" w:rsidP="00EB55AA">
      <w:pPr>
        <w:pStyle w:val="NoSpacing"/>
      </w:pPr>
      <w:r>
        <w:t xml:space="preserve">Behandling vid viral agens: </w:t>
      </w:r>
      <w:proofErr w:type="spellStart"/>
      <w:r>
        <w:t>aciklovir</w:t>
      </w:r>
      <w:proofErr w:type="spellEnd"/>
      <w:r>
        <w:t xml:space="preserve"> iv </w:t>
      </w:r>
      <w:r w:rsidR="000F6D5D">
        <w:t>-</w:t>
      </w:r>
      <w:r>
        <w:t xml:space="preserve"> samt </w:t>
      </w:r>
      <w:proofErr w:type="spellStart"/>
      <w:r>
        <w:t>ev</w:t>
      </w:r>
      <w:proofErr w:type="spellEnd"/>
      <w:r>
        <w:t xml:space="preserve"> </w:t>
      </w:r>
      <w:proofErr w:type="spellStart"/>
      <w:r>
        <w:t>kortikosteroider</w:t>
      </w:r>
      <w:proofErr w:type="spellEnd"/>
      <w:r>
        <w:t xml:space="preserve"> vid hjärnödem vid HSV</w:t>
      </w:r>
    </w:p>
    <w:p w:rsidR="00EB55AA" w:rsidRDefault="00EB55AA" w:rsidP="00EB55AA">
      <w:pPr>
        <w:pStyle w:val="NoSpacing"/>
      </w:pPr>
      <w:proofErr w:type="spellStart"/>
      <w:r>
        <w:t>Aciklovir</w:t>
      </w:r>
      <w:proofErr w:type="spellEnd"/>
      <w:r>
        <w:t xml:space="preserve"> har risk för njurpåverkan.</w:t>
      </w:r>
    </w:p>
    <w:p w:rsidR="00EB55AA" w:rsidRPr="00A24323" w:rsidRDefault="00EB55AA" w:rsidP="00EB55AA">
      <w:pPr>
        <w:pStyle w:val="NoSpacing"/>
      </w:pPr>
    </w:p>
    <w:p w:rsidR="00EB55AA" w:rsidRDefault="00EB55AA" w:rsidP="00EB55AA">
      <w:pPr>
        <w:pStyle w:val="Heading3"/>
      </w:pPr>
      <w:proofErr w:type="spellStart"/>
      <w:r>
        <w:t>Meningoencefalit</w:t>
      </w:r>
      <w:proofErr w:type="spellEnd"/>
    </w:p>
    <w:p w:rsidR="00EB55AA" w:rsidRDefault="00EB55AA" w:rsidP="00EB55AA">
      <w:pPr>
        <w:pStyle w:val="NoSpacing"/>
      </w:pPr>
      <w:r>
        <w:t xml:space="preserve">Etiologi: Bakterier: </w:t>
      </w:r>
      <w:proofErr w:type="spellStart"/>
      <w:r w:rsidRPr="00A24323">
        <w:rPr>
          <w:iCs/>
        </w:rPr>
        <w:t>ffa</w:t>
      </w:r>
      <w:proofErr w:type="spellEnd"/>
      <w:r>
        <w:t xml:space="preserve"> </w:t>
      </w:r>
      <w:proofErr w:type="spellStart"/>
      <w:r>
        <w:t>meningo</w:t>
      </w:r>
      <w:proofErr w:type="spellEnd"/>
      <w:r>
        <w:t xml:space="preserve">-, pneumokocker, h. </w:t>
      </w:r>
      <w:proofErr w:type="spellStart"/>
      <w:r>
        <w:t>influenzae</w:t>
      </w:r>
      <w:proofErr w:type="spellEnd"/>
      <w:r>
        <w:t>.</w:t>
      </w:r>
    </w:p>
    <w:p w:rsidR="00EB55AA" w:rsidRDefault="00EB55AA" w:rsidP="00EB55AA">
      <w:pPr>
        <w:pStyle w:val="NoSpacing"/>
      </w:pPr>
      <w:r>
        <w:t>Virus: TBE, herpes (</w:t>
      </w:r>
      <w:proofErr w:type="gramStart"/>
      <w:r>
        <w:t>HSV1&amp;2</w:t>
      </w:r>
      <w:proofErr w:type="gramEnd"/>
      <w:r>
        <w:t>), VZV och enterovirus.</w:t>
      </w:r>
    </w:p>
    <w:p w:rsidR="00EB55AA" w:rsidRDefault="00EB55AA" w:rsidP="00EB55AA">
      <w:pPr>
        <w:pStyle w:val="NoSpacing"/>
      </w:pPr>
      <w:r>
        <w:t>Ana</w:t>
      </w:r>
      <w:r w:rsidR="00354AB6">
        <w:t>mnes: Fästingbett (uppges av 2/3</w:t>
      </w:r>
      <w:r>
        <w:t xml:space="preserve"> av alla </w:t>
      </w:r>
      <w:proofErr w:type="spellStart"/>
      <w:r>
        <w:t>pat</w:t>
      </w:r>
      <w:proofErr w:type="spellEnd"/>
      <w:r>
        <w:t xml:space="preserve"> = TBE)? Sjuka i omgivningen? Herpesblåsor? TBE-vaccination?</w:t>
      </w:r>
    </w:p>
    <w:p w:rsidR="00D45700" w:rsidRDefault="00EB55AA" w:rsidP="00EB55AA">
      <w:pPr>
        <w:pStyle w:val="NoSpacing"/>
      </w:pPr>
      <w:r>
        <w:t xml:space="preserve">Utredning: </w:t>
      </w:r>
      <w:r w:rsidR="008B3F1E">
        <w:t>LP</w:t>
      </w:r>
      <w:r w:rsidRPr="00616400">
        <w:t xml:space="preserve"> (</w:t>
      </w:r>
      <w:r>
        <w:t>Sp-</w:t>
      </w:r>
      <w:r w:rsidRPr="00616400">
        <w:t>celler, laktat, glukos, albumin</w:t>
      </w:r>
      <w:r>
        <w:t xml:space="preserve">), </w:t>
      </w:r>
      <w:proofErr w:type="spellStart"/>
      <w:r>
        <w:t>likvorodling</w:t>
      </w:r>
      <w:proofErr w:type="spellEnd"/>
      <w:r w:rsidR="00F171F9">
        <w:t>, blododling</w:t>
      </w:r>
      <w:r>
        <w:t xml:space="preserve">; </w:t>
      </w:r>
    </w:p>
    <w:p w:rsidR="00D45700" w:rsidRDefault="00EB55AA" w:rsidP="00EB55AA">
      <w:pPr>
        <w:pStyle w:val="NoSpacing"/>
      </w:pPr>
      <w:r>
        <w:t>S</w:t>
      </w:r>
      <w:r w:rsidR="00D45700">
        <w:t>p-PCR-HSV1-2, enterovirus, VZV;</w:t>
      </w:r>
    </w:p>
    <w:p w:rsidR="00D45700" w:rsidRDefault="00EB55AA" w:rsidP="00EB55AA">
      <w:pPr>
        <w:pStyle w:val="NoSpacing"/>
      </w:pPr>
      <w:r>
        <w:t>Serol</w:t>
      </w:r>
      <w:r w:rsidR="00D45700">
        <w:t>ogi för TBE (S-</w:t>
      </w:r>
      <w:proofErr w:type="spellStart"/>
      <w:r w:rsidR="00D45700">
        <w:t>IgM</w:t>
      </w:r>
      <w:proofErr w:type="spellEnd"/>
      <w:r w:rsidR="00D45700">
        <w:t>);</w:t>
      </w:r>
    </w:p>
    <w:p w:rsidR="00EB55AA" w:rsidRDefault="00EB55AA" w:rsidP="00EB55AA">
      <w:pPr>
        <w:pStyle w:val="NoSpacing"/>
      </w:pPr>
      <w:r>
        <w:lastRenderedPageBreak/>
        <w:t>MRT/DT-hjärna (</w:t>
      </w:r>
      <w:proofErr w:type="gramStart"/>
      <w:r>
        <w:t>utföres</w:t>
      </w:r>
      <w:proofErr w:type="gramEnd"/>
      <w:r>
        <w:t xml:space="preserve"> före LP om fokalneurologi och/eller kliniska tecken till kraftigt förhöjt </w:t>
      </w:r>
      <w:proofErr w:type="spellStart"/>
      <w:r>
        <w:t>intrakraniellt</w:t>
      </w:r>
      <w:proofErr w:type="spellEnd"/>
      <w:r>
        <w:t xml:space="preserve"> tryck</w:t>
      </w:r>
      <w:r w:rsidR="00D45700">
        <w:t xml:space="preserve"> som sänkt medvetande</w:t>
      </w:r>
      <w:r>
        <w:t>), EEG vid encefalitmisstanke.</w:t>
      </w:r>
    </w:p>
    <w:p w:rsidR="00EB55AA" w:rsidRDefault="00EB55AA" w:rsidP="00EB55A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B55AA" w:rsidTr="00D4265B"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Prov</w:t>
            </w:r>
          </w:p>
        </w:tc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Bakterier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Virus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Kommentar</w:t>
            </w:r>
          </w:p>
        </w:tc>
      </w:tr>
      <w:tr w:rsidR="00EB55AA" w:rsidTr="00D4265B"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LPK</w:t>
            </w:r>
          </w:p>
        </w:tc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&gt;1000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&lt;1000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proofErr w:type="gramStart"/>
            <w:r>
              <w:t>Undantag</w:t>
            </w:r>
            <w:proofErr w:type="gramEnd"/>
            <w:r>
              <w:t>: tidig/fulminant BM</w:t>
            </w:r>
          </w:p>
        </w:tc>
      </w:tr>
      <w:tr w:rsidR="00EB55AA" w:rsidTr="00D4265B"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Poly&gt;mono</w:t>
            </w:r>
          </w:p>
        </w:tc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Ja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Nej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proofErr w:type="gramStart"/>
            <w:r>
              <w:t>Undantag</w:t>
            </w:r>
            <w:proofErr w:type="gramEnd"/>
            <w:r>
              <w:t xml:space="preserve">: tidig BM, </w:t>
            </w:r>
            <w:proofErr w:type="spellStart"/>
            <w:r>
              <w:t>listeria</w:t>
            </w:r>
            <w:proofErr w:type="spellEnd"/>
            <w:r>
              <w:t>, TB, borrelia, enterovirus</w:t>
            </w:r>
          </w:p>
        </w:tc>
      </w:tr>
      <w:tr w:rsidR="00EB55AA" w:rsidTr="00D4265B"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Tryck</w:t>
            </w:r>
          </w:p>
        </w:tc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 xml:space="preserve">&gt;180 </w:t>
            </w:r>
            <w:proofErr w:type="spellStart"/>
            <w:r>
              <w:t>mmHg</w:t>
            </w:r>
            <w:proofErr w:type="spellEnd"/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Normalt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</w:p>
        </w:tc>
      </w:tr>
      <w:tr w:rsidR="00EB55AA" w:rsidTr="00D4265B"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Albumin</w:t>
            </w:r>
          </w:p>
        </w:tc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↑↑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Normalt eller ↑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Stor överlappning</w:t>
            </w:r>
          </w:p>
        </w:tc>
      </w:tr>
      <w:tr w:rsidR="00EB55AA" w:rsidTr="00D4265B"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Glukos</w:t>
            </w:r>
          </w:p>
        </w:tc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Sänkt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Normalt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Låg sensitivitet, hög specificitet</w:t>
            </w:r>
          </w:p>
        </w:tc>
      </w:tr>
      <w:tr w:rsidR="00EB55AA" w:rsidTr="00D4265B"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Laktat</w:t>
            </w:r>
          </w:p>
        </w:tc>
        <w:tc>
          <w:tcPr>
            <w:tcW w:w="2265" w:type="dxa"/>
          </w:tcPr>
          <w:p w:rsidR="00EB55AA" w:rsidRDefault="00EB55AA" w:rsidP="00D4265B">
            <w:pPr>
              <w:pStyle w:val="NoSpacing"/>
            </w:pPr>
            <w:r>
              <w:t>↑↑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Normalt eller lätt↑</w:t>
            </w:r>
          </w:p>
        </w:tc>
        <w:tc>
          <w:tcPr>
            <w:tcW w:w="2266" w:type="dxa"/>
          </w:tcPr>
          <w:p w:rsidR="00EB55AA" w:rsidRDefault="00EB55AA" w:rsidP="00D4265B">
            <w:pPr>
              <w:pStyle w:val="NoSpacing"/>
            </w:pPr>
            <w:r>
              <w:t>Hög sensitivitet och specificitet</w:t>
            </w:r>
          </w:p>
        </w:tc>
      </w:tr>
    </w:tbl>
    <w:p w:rsidR="00EB55AA" w:rsidRPr="00616400" w:rsidRDefault="00EB55AA" w:rsidP="00EB55AA">
      <w:pPr>
        <w:pStyle w:val="NoSpacing"/>
      </w:pPr>
    </w:p>
    <w:p w:rsidR="00EB55AA" w:rsidRDefault="00EB55AA" w:rsidP="00EB55AA">
      <w:pPr>
        <w:pStyle w:val="Heading3"/>
      </w:pPr>
      <w:r>
        <w:t>Symtom relaterad till agens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79"/>
        <w:gridCol w:w="1264"/>
        <w:gridCol w:w="569"/>
      </w:tblGrid>
      <w:tr w:rsidR="00EB55AA" w:rsidTr="00D4265B">
        <w:tc>
          <w:tcPr>
            <w:tcW w:w="3681" w:type="dxa"/>
          </w:tcPr>
          <w:p w:rsidR="00EB55AA" w:rsidRDefault="00EB55AA" w:rsidP="00D4265B">
            <w:pPr>
              <w:pStyle w:val="NoSpacing"/>
            </w:pPr>
          </w:p>
        </w:tc>
        <w:tc>
          <w:tcPr>
            <w:tcW w:w="567" w:type="dxa"/>
          </w:tcPr>
          <w:p w:rsidR="00EB55AA" w:rsidRDefault="00EB55AA" w:rsidP="00D4265B">
            <w:pPr>
              <w:pStyle w:val="NoSpacing"/>
            </w:pPr>
            <w:r>
              <w:t>TBE</w:t>
            </w:r>
          </w:p>
        </w:tc>
        <w:tc>
          <w:tcPr>
            <w:tcW w:w="579" w:type="dxa"/>
          </w:tcPr>
          <w:p w:rsidR="00EB55AA" w:rsidRDefault="00EB55AA" w:rsidP="00D4265B">
            <w:pPr>
              <w:pStyle w:val="NoSpacing"/>
            </w:pPr>
            <w:r>
              <w:t>HSV</w:t>
            </w:r>
          </w:p>
        </w:tc>
        <w:tc>
          <w:tcPr>
            <w:tcW w:w="1264" w:type="dxa"/>
          </w:tcPr>
          <w:p w:rsidR="00EB55AA" w:rsidRDefault="007D1A12" w:rsidP="00D4265B">
            <w:pPr>
              <w:pStyle w:val="NoSpacing"/>
            </w:pPr>
            <w:r>
              <w:t>E</w:t>
            </w:r>
            <w:r w:rsidR="00EB55AA">
              <w:t>nterovirus</w:t>
            </w:r>
          </w:p>
        </w:tc>
        <w:tc>
          <w:tcPr>
            <w:tcW w:w="569" w:type="dxa"/>
          </w:tcPr>
          <w:p w:rsidR="00EB55AA" w:rsidRDefault="00EB55AA" w:rsidP="00D4265B">
            <w:pPr>
              <w:pStyle w:val="NoSpacing"/>
            </w:pPr>
            <w:r>
              <w:t>VZV</w:t>
            </w:r>
          </w:p>
        </w:tc>
      </w:tr>
      <w:tr w:rsidR="00EB55AA" w:rsidTr="00D4265B">
        <w:tc>
          <w:tcPr>
            <w:tcW w:w="3681" w:type="dxa"/>
          </w:tcPr>
          <w:p w:rsidR="00EB55AA" w:rsidRDefault="00EB55AA" w:rsidP="00D4265B">
            <w:pPr>
              <w:pStyle w:val="NoSpacing"/>
            </w:pPr>
            <w:r w:rsidRPr="0011268B">
              <w:t>Utslag</w:t>
            </w:r>
          </w:p>
        </w:tc>
        <w:tc>
          <w:tcPr>
            <w:tcW w:w="567" w:type="dxa"/>
          </w:tcPr>
          <w:p w:rsidR="00EB55AA" w:rsidRDefault="00EB55AA" w:rsidP="00D4265B">
            <w:pPr>
              <w:pStyle w:val="NoSpacing"/>
            </w:pPr>
          </w:p>
        </w:tc>
        <w:tc>
          <w:tcPr>
            <w:tcW w:w="579" w:type="dxa"/>
            <w:vMerge w:val="restart"/>
          </w:tcPr>
          <w:p w:rsidR="00EB55AA" w:rsidRDefault="00EB55AA" w:rsidP="00D4265B">
            <w:pPr>
              <w:pStyle w:val="NoSpacing"/>
            </w:pPr>
          </w:p>
        </w:tc>
        <w:tc>
          <w:tcPr>
            <w:tcW w:w="1264" w:type="dxa"/>
          </w:tcPr>
          <w:p w:rsidR="00EB55AA" w:rsidRDefault="00EB55AA" w:rsidP="00D4265B">
            <w:pPr>
              <w:pStyle w:val="NoSpacing"/>
            </w:pPr>
            <w:r>
              <w:t>X</w:t>
            </w:r>
          </w:p>
        </w:tc>
        <w:tc>
          <w:tcPr>
            <w:tcW w:w="569" w:type="dxa"/>
          </w:tcPr>
          <w:p w:rsidR="00EB55AA" w:rsidRDefault="00EB55AA" w:rsidP="00D4265B">
            <w:pPr>
              <w:pStyle w:val="NoSpacing"/>
            </w:pPr>
            <w:r>
              <w:t>X</w:t>
            </w:r>
          </w:p>
        </w:tc>
      </w:tr>
      <w:tr w:rsidR="00EB55AA" w:rsidTr="00D4265B">
        <w:tc>
          <w:tcPr>
            <w:tcW w:w="3681" w:type="dxa"/>
          </w:tcPr>
          <w:p w:rsidR="00EB55AA" w:rsidRDefault="00EB55AA" w:rsidP="00D4265B">
            <w:pPr>
              <w:pStyle w:val="NoSpacing"/>
            </w:pPr>
            <w:proofErr w:type="spellStart"/>
            <w:r w:rsidRPr="0011268B">
              <w:t>Myalgi</w:t>
            </w:r>
            <w:proofErr w:type="spellEnd"/>
          </w:p>
        </w:tc>
        <w:tc>
          <w:tcPr>
            <w:tcW w:w="567" w:type="dxa"/>
          </w:tcPr>
          <w:p w:rsidR="00EB55AA" w:rsidRDefault="00EB55AA" w:rsidP="00D4265B">
            <w:pPr>
              <w:pStyle w:val="NoSpacing"/>
            </w:pPr>
            <w:r>
              <w:t>X</w:t>
            </w:r>
          </w:p>
        </w:tc>
        <w:tc>
          <w:tcPr>
            <w:tcW w:w="579" w:type="dxa"/>
            <w:vMerge/>
          </w:tcPr>
          <w:p w:rsidR="00EB55AA" w:rsidRDefault="00EB55AA" w:rsidP="00D4265B">
            <w:pPr>
              <w:pStyle w:val="NoSpacing"/>
            </w:pPr>
          </w:p>
        </w:tc>
        <w:tc>
          <w:tcPr>
            <w:tcW w:w="1264" w:type="dxa"/>
          </w:tcPr>
          <w:p w:rsidR="00EB55AA" w:rsidRDefault="00EB55AA" w:rsidP="00D4265B">
            <w:pPr>
              <w:pStyle w:val="NoSpacing"/>
            </w:pPr>
            <w:r>
              <w:t>X</w:t>
            </w:r>
          </w:p>
        </w:tc>
        <w:tc>
          <w:tcPr>
            <w:tcW w:w="569" w:type="dxa"/>
          </w:tcPr>
          <w:p w:rsidR="00EB55AA" w:rsidRDefault="00EB55AA" w:rsidP="00D4265B">
            <w:pPr>
              <w:pStyle w:val="NoSpacing"/>
            </w:pPr>
          </w:p>
        </w:tc>
      </w:tr>
      <w:tr w:rsidR="00EB55AA" w:rsidTr="00D4265B">
        <w:tc>
          <w:tcPr>
            <w:tcW w:w="3681" w:type="dxa"/>
          </w:tcPr>
          <w:p w:rsidR="00EB55AA" w:rsidRDefault="00EB55AA" w:rsidP="00D4265B">
            <w:pPr>
              <w:pStyle w:val="NoSpacing"/>
            </w:pPr>
            <w:r w:rsidRPr="0011268B">
              <w:t>Konjunktivit</w:t>
            </w:r>
          </w:p>
        </w:tc>
        <w:tc>
          <w:tcPr>
            <w:tcW w:w="567" w:type="dxa"/>
          </w:tcPr>
          <w:p w:rsidR="00EB55AA" w:rsidRDefault="00EB55AA" w:rsidP="00D4265B">
            <w:pPr>
              <w:pStyle w:val="NoSpacing"/>
            </w:pPr>
          </w:p>
        </w:tc>
        <w:tc>
          <w:tcPr>
            <w:tcW w:w="579" w:type="dxa"/>
            <w:vMerge/>
          </w:tcPr>
          <w:p w:rsidR="00EB55AA" w:rsidRDefault="00EB55AA" w:rsidP="00D4265B">
            <w:pPr>
              <w:pStyle w:val="NoSpacing"/>
            </w:pPr>
          </w:p>
        </w:tc>
        <w:tc>
          <w:tcPr>
            <w:tcW w:w="1264" w:type="dxa"/>
          </w:tcPr>
          <w:p w:rsidR="00EB55AA" w:rsidRDefault="00EB55AA" w:rsidP="00D4265B">
            <w:pPr>
              <w:pStyle w:val="NoSpacing"/>
            </w:pPr>
            <w:r>
              <w:t>X</w:t>
            </w:r>
          </w:p>
        </w:tc>
        <w:tc>
          <w:tcPr>
            <w:tcW w:w="569" w:type="dxa"/>
          </w:tcPr>
          <w:p w:rsidR="00EB55AA" w:rsidRDefault="00EB55AA" w:rsidP="00D4265B">
            <w:pPr>
              <w:pStyle w:val="NoSpacing"/>
            </w:pPr>
          </w:p>
        </w:tc>
      </w:tr>
      <w:tr w:rsidR="00EB55AA" w:rsidTr="00D4265B">
        <w:tc>
          <w:tcPr>
            <w:tcW w:w="3681" w:type="dxa"/>
          </w:tcPr>
          <w:p w:rsidR="00EB55AA" w:rsidRPr="0011268B" w:rsidRDefault="00EB55AA" w:rsidP="00D4265B">
            <w:pPr>
              <w:pStyle w:val="NoSpacing"/>
            </w:pPr>
            <w:r>
              <w:t>Dubbelinsjuknande</w:t>
            </w:r>
          </w:p>
        </w:tc>
        <w:tc>
          <w:tcPr>
            <w:tcW w:w="567" w:type="dxa"/>
          </w:tcPr>
          <w:p w:rsidR="00EB55AA" w:rsidRDefault="00EB55AA" w:rsidP="00D4265B">
            <w:pPr>
              <w:pStyle w:val="NoSpacing"/>
            </w:pPr>
            <w:r>
              <w:t>X</w:t>
            </w:r>
          </w:p>
        </w:tc>
        <w:tc>
          <w:tcPr>
            <w:tcW w:w="579" w:type="dxa"/>
            <w:vMerge/>
          </w:tcPr>
          <w:p w:rsidR="00EB55AA" w:rsidRDefault="00EB55AA" w:rsidP="00D4265B">
            <w:pPr>
              <w:pStyle w:val="NoSpacing"/>
            </w:pPr>
          </w:p>
        </w:tc>
        <w:tc>
          <w:tcPr>
            <w:tcW w:w="1264" w:type="dxa"/>
          </w:tcPr>
          <w:p w:rsidR="00EB55AA" w:rsidRDefault="00EB55AA" w:rsidP="00D4265B">
            <w:pPr>
              <w:pStyle w:val="NoSpacing"/>
            </w:pPr>
            <w:r>
              <w:t>X</w:t>
            </w:r>
          </w:p>
        </w:tc>
        <w:tc>
          <w:tcPr>
            <w:tcW w:w="569" w:type="dxa"/>
          </w:tcPr>
          <w:p w:rsidR="00EB55AA" w:rsidRDefault="00EB55AA" w:rsidP="00D4265B">
            <w:pPr>
              <w:pStyle w:val="NoSpacing"/>
            </w:pPr>
          </w:p>
        </w:tc>
      </w:tr>
      <w:tr w:rsidR="00B74495" w:rsidTr="00D4265B">
        <w:tc>
          <w:tcPr>
            <w:tcW w:w="3681" w:type="dxa"/>
          </w:tcPr>
          <w:p w:rsidR="00B74495" w:rsidRDefault="00B74495" w:rsidP="00D4265B">
            <w:pPr>
              <w:pStyle w:val="NoSpacing"/>
            </w:pPr>
            <w:proofErr w:type="spellStart"/>
            <w:r w:rsidRPr="0011268B">
              <w:t>Cerebellär</w:t>
            </w:r>
            <w:proofErr w:type="spellEnd"/>
            <w:r w:rsidRPr="0011268B">
              <w:t xml:space="preserve"> ataxi</w:t>
            </w:r>
          </w:p>
        </w:tc>
        <w:tc>
          <w:tcPr>
            <w:tcW w:w="567" w:type="dxa"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79" w:type="dxa"/>
            <w:vMerge/>
          </w:tcPr>
          <w:p w:rsidR="00B74495" w:rsidRDefault="00B74495" w:rsidP="00D4265B">
            <w:pPr>
              <w:pStyle w:val="NoSpacing"/>
            </w:pPr>
          </w:p>
        </w:tc>
        <w:tc>
          <w:tcPr>
            <w:tcW w:w="1264" w:type="dxa"/>
            <w:vMerge w:val="restart"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69" w:type="dxa"/>
          </w:tcPr>
          <w:p w:rsidR="00B74495" w:rsidRDefault="00B74495" w:rsidP="00D4265B">
            <w:pPr>
              <w:pStyle w:val="NoSpacing"/>
            </w:pPr>
            <w:r>
              <w:t>X</w:t>
            </w:r>
          </w:p>
        </w:tc>
      </w:tr>
      <w:tr w:rsidR="00B74495" w:rsidTr="00D4265B">
        <w:tc>
          <w:tcPr>
            <w:tcW w:w="3681" w:type="dxa"/>
          </w:tcPr>
          <w:p w:rsidR="00B74495" w:rsidRDefault="00B74495" w:rsidP="00D4265B">
            <w:pPr>
              <w:pStyle w:val="NoSpacing"/>
            </w:pPr>
            <w:r w:rsidRPr="0011268B">
              <w:t>Temporallobsencefalit</w:t>
            </w:r>
          </w:p>
        </w:tc>
        <w:tc>
          <w:tcPr>
            <w:tcW w:w="567" w:type="dxa"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79" w:type="dxa"/>
          </w:tcPr>
          <w:p w:rsidR="00B74495" w:rsidRDefault="00B74495" w:rsidP="00D4265B">
            <w:pPr>
              <w:pStyle w:val="NoSpacing"/>
            </w:pPr>
            <w:r>
              <w:t>1</w:t>
            </w:r>
          </w:p>
        </w:tc>
        <w:tc>
          <w:tcPr>
            <w:tcW w:w="1264" w:type="dxa"/>
            <w:vMerge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69" w:type="dxa"/>
          </w:tcPr>
          <w:p w:rsidR="00B74495" w:rsidRDefault="00B74495" w:rsidP="00D4265B">
            <w:pPr>
              <w:pStyle w:val="NoSpacing"/>
            </w:pPr>
          </w:p>
        </w:tc>
      </w:tr>
      <w:tr w:rsidR="00B74495" w:rsidTr="00D4265B">
        <w:tc>
          <w:tcPr>
            <w:tcW w:w="3681" w:type="dxa"/>
          </w:tcPr>
          <w:p w:rsidR="00B74495" w:rsidRDefault="00B74495" w:rsidP="00D4265B">
            <w:pPr>
              <w:pStyle w:val="NoSpacing"/>
            </w:pPr>
            <w:proofErr w:type="spellStart"/>
            <w:r>
              <w:t>Paresi</w:t>
            </w:r>
            <w:proofErr w:type="spellEnd"/>
            <w:r>
              <w:t xml:space="preserve"> i </w:t>
            </w:r>
            <w:r w:rsidRPr="0011268B">
              <w:t>skuldror/proximala öv</w:t>
            </w:r>
            <w:r>
              <w:t>e</w:t>
            </w:r>
            <w:r w:rsidRPr="0011268B">
              <w:t>rarmar</w:t>
            </w:r>
          </w:p>
        </w:tc>
        <w:tc>
          <w:tcPr>
            <w:tcW w:w="567" w:type="dxa"/>
          </w:tcPr>
          <w:p w:rsidR="00B74495" w:rsidRDefault="00B74495" w:rsidP="00D4265B">
            <w:pPr>
              <w:pStyle w:val="NoSpacing"/>
            </w:pPr>
            <w:r>
              <w:t>X</w:t>
            </w:r>
          </w:p>
        </w:tc>
        <w:tc>
          <w:tcPr>
            <w:tcW w:w="579" w:type="dxa"/>
          </w:tcPr>
          <w:p w:rsidR="00B74495" w:rsidRDefault="00B74495" w:rsidP="00D4265B">
            <w:pPr>
              <w:pStyle w:val="NoSpacing"/>
            </w:pPr>
          </w:p>
        </w:tc>
        <w:tc>
          <w:tcPr>
            <w:tcW w:w="1264" w:type="dxa"/>
            <w:vMerge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69" w:type="dxa"/>
          </w:tcPr>
          <w:p w:rsidR="00B74495" w:rsidRDefault="00B74495" w:rsidP="00D4265B">
            <w:pPr>
              <w:pStyle w:val="NoSpacing"/>
            </w:pPr>
          </w:p>
        </w:tc>
      </w:tr>
      <w:tr w:rsidR="00B74495" w:rsidTr="00D4265B">
        <w:tc>
          <w:tcPr>
            <w:tcW w:w="3681" w:type="dxa"/>
          </w:tcPr>
          <w:p w:rsidR="00B74495" w:rsidRDefault="00B74495" w:rsidP="00D4265B">
            <w:pPr>
              <w:pStyle w:val="NoSpacing"/>
            </w:pPr>
            <w:r>
              <w:t>Fästingsanamnes</w:t>
            </w:r>
          </w:p>
        </w:tc>
        <w:tc>
          <w:tcPr>
            <w:tcW w:w="567" w:type="dxa"/>
          </w:tcPr>
          <w:p w:rsidR="00B74495" w:rsidRDefault="00B74495" w:rsidP="00D4265B">
            <w:pPr>
              <w:pStyle w:val="NoSpacing"/>
            </w:pPr>
            <w:r>
              <w:t>X</w:t>
            </w:r>
          </w:p>
        </w:tc>
        <w:tc>
          <w:tcPr>
            <w:tcW w:w="579" w:type="dxa"/>
          </w:tcPr>
          <w:p w:rsidR="00B74495" w:rsidRDefault="00B74495" w:rsidP="00D4265B">
            <w:pPr>
              <w:pStyle w:val="NoSpacing"/>
            </w:pPr>
          </w:p>
        </w:tc>
        <w:tc>
          <w:tcPr>
            <w:tcW w:w="1264" w:type="dxa"/>
            <w:vMerge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69" w:type="dxa"/>
          </w:tcPr>
          <w:p w:rsidR="00B74495" w:rsidRDefault="00B74495" w:rsidP="00D4265B">
            <w:pPr>
              <w:pStyle w:val="NoSpacing"/>
            </w:pPr>
          </w:p>
        </w:tc>
      </w:tr>
      <w:tr w:rsidR="00B74495" w:rsidTr="00D4265B">
        <w:tc>
          <w:tcPr>
            <w:tcW w:w="3681" w:type="dxa"/>
          </w:tcPr>
          <w:p w:rsidR="00B74495" w:rsidRDefault="00B74495" w:rsidP="00D4265B">
            <w:pPr>
              <w:pStyle w:val="NoSpacing"/>
            </w:pPr>
            <w:r>
              <w:t xml:space="preserve">Recidiverande </w:t>
            </w:r>
            <w:proofErr w:type="spellStart"/>
            <w:r>
              <w:t>meningiter</w:t>
            </w:r>
            <w:proofErr w:type="spellEnd"/>
          </w:p>
        </w:tc>
        <w:tc>
          <w:tcPr>
            <w:tcW w:w="567" w:type="dxa"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79" w:type="dxa"/>
          </w:tcPr>
          <w:p w:rsidR="00B74495" w:rsidRDefault="00B74495" w:rsidP="00D4265B">
            <w:pPr>
              <w:pStyle w:val="NoSpacing"/>
            </w:pPr>
            <w:r>
              <w:t>2</w:t>
            </w:r>
          </w:p>
        </w:tc>
        <w:tc>
          <w:tcPr>
            <w:tcW w:w="1264" w:type="dxa"/>
            <w:vMerge/>
          </w:tcPr>
          <w:p w:rsidR="00B74495" w:rsidRDefault="00B74495" w:rsidP="00D4265B">
            <w:pPr>
              <w:pStyle w:val="NoSpacing"/>
            </w:pPr>
          </w:p>
        </w:tc>
        <w:tc>
          <w:tcPr>
            <w:tcW w:w="569" w:type="dxa"/>
          </w:tcPr>
          <w:p w:rsidR="00B74495" w:rsidRDefault="00B74495" w:rsidP="00D4265B">
            <w:pPr>
              <w:pStyle w:val="NoSpacing"/>
            </w:pPr>
          </w:p>
        </w:tc>
      </w:tr>
    </w:tbl>
    <w:p w:rsidR="00EB55AA" w:rsidRDefault="00EB55AA" w:rsidP="00EB55AA">
      <w:pPr>
        <w:pStyle w:val="NoSpacing"/>
      </w:pPr>
      <w:r>
        <w:t xml:space="preserve">OBS </w:t>
      </w:r>
      <w:proofErr w:type="spellStart"/>
      <w:r>
        <w:t>pat</w:t>
      </w:r>
      <w:proofErr w:type="spellEnd"/>
      <w:r>
        <w:t xml:space="preserve"> m herpesencefalit saknar nästan alltid blåsor. </w:t>
      </w:r>
    </w:p>
    <w:p w:rsidR="00EB55AA" w:rsidRPr="00274764" w:rsidRDefault="00EB55AA" w:rsidP="00EB55AA">
      <w:pPr>
        <w:pStyle w:val="NoSpacing"/>
      </w:pPr>
    </w:p>
    <w:p w:rsidR="004E19D1" w:rsidRDefault="00EB55AA" w:rsidP="003D4B3B">
      <w:pPr>
        <w:pStyle w:val="Heading2"/>
      </w:pPr>
      <w:r>
        <w:t>Sepsis</w:t>
      </w:r>
    </w:p>
    <w:p w:rsidR="003D4B3B" w:rsidRDefault="003D4B3B" w:rsidP="003D4B3B">
      <w:pPr>
        <w:pStyle w:val="Heading3"/>
      </w:pPr>
      <w:r>
        <w:t>Definitioner</w:t>
      </w:r>
    </w:p>
    <w:p w:rsidR="003D4B3B" w:rsidRDefault="003D4B3B" w:rsidP="004E19D1">
      <w:pPr>
        <w:pStyle w:val="NoSpacing"/>
      </w:pPr>
      <w:r>
        <w:t xml:space="preserve">Sepsis: (minst två) takykardi HF&gt;90, </w:t>
      </w:r>
      <w:proofErr w:type="spellStart"/>
      <w:r>
        <w:t>takypné</w:t>
      </w:r>
      <w:proofErr w:type="spellEnd"/>
      <w:r>
        <w:t xml:space="preserve"> AF&gt;20, LPK&gt;12 eller &lt;4, Temp&gt;38 eller &lt;36</w:t>
      </w:r>
    </w:p>
    <w:p w:rsidR="003D4B3B" w:rsidRDefault="003D4B3B" w:rsidP="004E19D1">
      <w:pPr>
        <w:pStyle w:val="NoSpacing"/>
      </w:pPr>
      <w:r>
        <w:t xml:space="preserve">Svår sepsis: (och/eller) </w:t>
      </w:r>
      <w:proofErr w:type="spellStart"/>
      <w:r>
        <w:t>hypotension</w:t>
      </w:r>
      <w:proofErr w:type="spellEnd"/>
      <w:r>
        <w:t xml:space="preserve"> SBT&lt;90, </w:t>
      </w:r>
      <w:proofErr w:type="spellStart"/>
      <w:r>
        <w:t>hypoperfusion</w:t>
      </w:r>
      <w:proofErr w:type="spellEnd"/>
      <w:r>
        <w:t xml:space="preserve"> laktat&gt;1 </w:t>
      </w:r>
      <w:proofErr w:type="spellStart"/>
      <w:r>
        <w:t>mmol</w:t>
      </w:r>
      <w:proofErr w:type="spellEnd"/>
      <w:r>
        <w:t xml:space="preserve">/l, sviktande </w:t>
      </w:r>
      <w:proofErr w:type="spellStart"/>
      <w:r>
        <w:t>organfkn</w:t>
      </w:r>
      <w:proofErr w:type="spellEnd"/>
      <w:r>
        <w:t>, AF&gt;30</w:t>
      </w:r>
    </w:p>
    <w:p w:rsidR="003D4B3B" w:rsidRDefault="003D4B3B" w:rsidP="004E19D1">
      <w:pPr>
        <w:pStyle w:val="NoSpacing"/>
      </w:pPr>
      <w:r>
        <w:t xml:space="preserve">Septisk chock: fortsatt </w:t>
      </w:r>
      <w:proofErr w:type="spellStart"/>
      <w:r>
        <w:t>hypotension</w:t>
      </w:r>
      <w:proofErr w:type="spellEnd"/>
      <w:r>
        <w:t xml:space="preserve"> SBT&lt;90 </w:t>
      </w:r>
      <w:r w:rsidRPr="003D4B3B">
        <w:rPr>
          <w:u w:val="single"/>
        </w:rPr>
        <w:t>trots</w:t>
      </w:r>
      <w:r>
        <w:t xml:space="preserve"> vätskebolus</w:t>
      </w:r>
    </w:p>
    <w:p w:rsidR="003D4B3B" w:rsidRDefault="003D4B3B" w:rsidP="004E19D1">
      <w:pPr>
        <w:pStyle w:val="NoSpacing"/>
      </w:pPr>
    </w:p>
    <w:p w:rsidR="008B37D5" w:rsidRDefault="008B37D5" w:rsidP="008B37D5">
      <w:pPr>
        <w:pStyle w:val="Heading3"/>
      </w:pPr>
      <w:r>
        <w:t>SIRS</w:t>
      </w:r>
    </w:p>
    <w:p w:rsidR="00C5185C" w:rsidRDefault="00C5185C" w:rsidP="00C5185C">
      <w:pPr>
        <w:pStyle w:val="NoSpacing"/>
        <w:rPr>
          <w:lang w:eastAsia="sv-SE"/>
        </w:rPr>
      </w:pPr>
      <w:r w:rsidRPr="008B37D5">
        <w:rPr>
          <w:lang w:eastAsia="sv-SE"/>
        </w:rPr>
        <w:t>Temp &gt; 38° eller &lt; 36°</w:t>
      </w:r>
    </w:p>
    <w:p w:rsidR="00C5185C" w:rsidRDefault="00C5185C" w:rsidP="00C5185C">
      <w:pPr>
        <w:pStyle w:val="NoSpacing"/>
        <w:rPr>
          <w:lang w:eastAsia="sv-SE"/>
        </w:rPr>
      </w:pPr>
      <w:r w:rsidRPr="008B37D5">
        <w:rPr>
          <w:lang w:eastAsia="sv-SE"/>
        </w:rPr>
        <w:t>A</w:t>
      </w:r>
      <w:r>
        <w:rPr>
          <w:lang w:eastAsia="sv-SE"/>
        </w:rPr>
        <w:t>F</w:t>
      </w:r>
      <w:r w:rsidRPr="008B37D5">
        <w:rPr>
          <w:lang w:eastAsia="sv-SE"/>
        </w:rPr>
        <w:t xml:space="preserve"> &gt; 20 eller PaCO</w:t>
      </w:r>
      <w:r w:rsidRPr="008B37D5">
        <w:rPr>
          <w:vertAlign w:val="subscript"/>
          <w:lang w:eastAsia="sv-SE"/>
        </w:rPr>
        <w:t>2</w:t>
      </w:r>
      <w:r w:rsidRPr="008B37D5">
        <w:rPr>
          <w:lang w:eastAsia="sv-SE"/>
        </w:rPr>
        <w:t xml:space="preserve"> &lt; 4 </w:t>
      </w:r>
      <w:proofErr w:type="spellStart"/>
      <w:r w:rsidRPr="008B37D5">
        <w:rPr>
          <w:lang w:eastAsia="sv-SE"/>
        </w:rPr>
        <w:t>kPa</w:t>
      </w:r>
      <w:proofErr w:type="spellEnd"/>
    </w:p>
    <w:p w:rsidR="00C5185C" w:rsidRDefault="00C5185C" w:rsidP="00C5185C">
      <w:pPr>
        <w:pStyle w:val="NoSpacing"/>
        <w:rPr>
          <w:lang w:eastAsia="sv-SE"/>
        </w:rPr>
      </w:pPr>
      <w:r w:rsidRPr="008B37D5">
        <w:rPr>
          <w:lang w:eastAsia="sv-SE"/>
        </w:rPr>
        <w:t>H</w:t>
      </w:r>
      <w:r>
        <w:rPr>
          <w:lang w:eastAsia="sv-SE"/>
        </w:rPr>
        <w:t>F</w:t>
      </w:r>
      <w:r w:rsidRPr="008B37D5">
        <w:rPr>
          <w:lang w:eastAsia="sv-SE"/>
        </w:rPr>
        <w:t xml:space="preserve"> &gt; 90</w:t>
      </w:r>
    </w:p>
    <w:p w:rsidR="008B37D5" w:rsidRDefault="00C5185C" w:rsidP="00C5185C">
      <w:pPr>
        <w:pStyle w:val="NoSpacing"/>
        <w:rPr>
          <w:vertAlign w:val="superscript"/>
          <w:lang w:eastAsia="sv-SE"/>
        </w:rPr>
      </w:pPr>
      <w:r w:rsidRPr="008B37D5">
        <w:rPr>
          <w:lang w:eastAsia="sv-SE"/>
        </w:rPr>
        <w:t>LPK &gt; 12 eller &lt; 4 x 10</w:t>
      </w:r>
      <w:r w:rsidRPr="008B37D5">
        <w:rPr>
          <w:vertAlign w:val="superscript"/>
          <w:lang w:eastAsia="sv-SE"/>
        </w:rPr>
        <w:t>9</w:t>
      </w:r>
    </w:p>
    <w:p w:rsidR="00C5185C" w:rsidRDefault="00C5185C" w:rsidP="00C5185C">
      <w:pPr>
        <w:pStyle w:val="NoSpacing"/>
      </w:pPr>
    </w:p>
    <w:p w:rsidR="003D4B3B" w:rsidRDefault="003D4B3B" w:rsidP="003D4B3B">
      <w:pPr>
        <w:pStyle w:val="Heading3"/>
      </w:pPr>
      <w:r>
        <w:t>Sepsis</w:t>
      </w:r>
    </w:p>
    <w:p w:rsidR="003D4B3B" w:rsidRPr="003D4B3B" w:rsidRDefault="003D4B3B" w:rsidP="003D4B3B">
      <w:pPr>
        <w:pStyle w:val="NoSpacing"/>
      </w:pPr>
      <w:r>
        <w:t>Inte alltid typiska symtom. Feber förekommer inte alltid, diarré och kräkningar misstolkas som annat, diffusa eller lokala smärttillstånd som buks</w:t>
      </w:r>
      <w:r w:rsidR="00E0664E">
        <w:t xml:space="preserve">märta misstolkas, fallskador </w:t>
      </w:r>
      <w:r w:rsidR="00CF59DD">
        <w:t>(</w:t>
      </w:r>
      <w:proofErr w:type="spellStart"/>
      <w:r w:rsidR="00E0664E">
        <w:t>eg</w:t>
      </w:r>
      <w:proofErr w:type="spellEnd"/>
      <w:r w:rsidR="00E0664E">
        <w:t xml:space="preserve"> </w:t>
      </w:r>
      <w:r w:rsidR="00CF59DD">
        <w:t>funnen på golvet) misstolkas, ko</w:t>
      </w:r>
      <w:r>
        <w:t xml:space="preserve">nfusion misstolkas som stroke, tidiga labprover kan vara normala. </w:t>
      </w:r>
    </w:p>
    <w:p w:rsidR="003D4B3B" w:rsidRDefault="003D4B3B" w:rsidP="004E19D1">
      <w:pPr>
        <w:pStyle w:val="NoSpacing"/>
      </w:pPr>
    </w:p>
    <w:p w:rsidR="00CD1A4A" w:rsidRDefault="00CD1A4A" w:rsidP="004E19D1">
      <w:pPr>
        <w:pStyle w:val="NoSpacing"/>
      </w:pPr>
      <w:r>
        <w:t>Handläggning: IV-infart och vätska iv. Syrgasmask.</w:t>
      </w:r>
    </w:p>
    <w:p w:rsidR="00965031" w:rsidRDefault="004E19D1" w:rsidP="004E19D1">
      <w:pPr>
        <w:pStyle w:val="NoSpacing"/>
      </w:pPr>
      <w:r>
        <w:t xml:space="preserve">Prover: </w:t>
      </w:r>
      <w:proofErr w:type="spellStart"/>
      <w:r>
        <w:t>artärblodgas</w:t>
      </w:r>
      <w:proofErr w:type="spellEnd"/>
    </w:p>
    <w:p w:rsidR="004E19D1" w:rsidRDefault="00965031" w:rsidP="004E19D1">
      <w:pPr>
        <w:pStyle w:val="NoSpacing"/>
      </w:pPr>
      <w:r>
        <w:lastRenderedPageBreak/>
        <w:t xml:space="preserve">Mikrobiologi: </w:t>
      </w:r>
      <w:r w:rsidR="00CF59DD">
        <w:t>blododling x2, urinodling, övriga odlingar</w:t>
      </w:r>
      <w:r w:rsidR="006927CB">
        <w:t xml:space="preserve"> styrs av misstänkt fokus (NPH/</w:t>
      </w:r>
      <w:proofErr w:type="spellStart"/>
      <w:r w:rsidR="00CF59DD">
        <w:t>sputum</w:t>
      </w:r>
      <w:proofErr w:type="spellEnd"/>
      <w:r w:rsidR="00CF59DD">
        <w:t xml:space="preserve">, </w:t>
      </w:r>
      <w:proofErr w:type="spellStart"/>
      <w:r w:rsidR="00CF59DD">
        <w:t>likvor</w:t>
      </w:r>
      <w:proofErr w:type="spellEnd"/>
      <w:r w:rsidR="00CF59DD">
        <w:t xml:space="preserve">, sår, </w:t>
      </w:r>
      <w:proofErr w:type="spellStart"/>
      <w:r w:rsidR="00CF59DD">
        <w:t>etc</w:t>
      </w:r>
      <w:proofErr w:type="spellEnd"/>
      <w:r w:rsidR="00CF59DD">
        <w:t xml:space="preserve">), </w:t>
      </w:r>
      <w:r w:rsidR="00CD1A4A">
        <w:t>urinantigen för pneumokocker</w:t>
      </w:r>
    </w:p>
    <w:p w:rsidR="004E19D1" w:rsidRDefault="004E19D1" w:rsidP="004E19D1">
      <w:pPr>
        <w:pStyle w:val="NoSpacing"/>
      </w:pPr>
      <w:r>
        <w:t xml:space="preserve">pH eller laktat ger svar på om </w:t>
      </w:r>
      <w:proofErr w:type="spellStart"/>
      <w:r>
        <w:t>hypoperfusion</w:t>
      </w:r>
      <w:proofErr w:type="spellEnd"/>
      <w:r>
        <w:t xml:space="preserve"> föreligger.</w:t>
      </w:r>
    </w:p>
    <w:p w:rsidR="004E19D1" w:rsidRDefault="004E19D1" w:rsidP="004E19D1">
      <w:pPr>
        <w:pStyle w:val="NoSpacing"/>
      </w:pPr>
    </w:p>
    <w:p w:rsidR="00C5185C" w:rsidRDefault="00C5185C" w:rsidP="004E19D1">
      <w:pPr>
        <w:pStyle w:val="NoSpacing"/>
      </w:pPr>
      <w:r>
        <w:t>Septisk chock är indikation för IVA.</w:t>
      </w:r>
    </w:p>
    <w:p w:rsidR="00C5185C" w:rsidRDefault="00C5185C" w:rsidP="004E19D1">
      <w:pPr>
        <w:pStyle w:val="NoSpacing"/>
      </w:pPr>
    </w:p>
    <w:p w:rsidR="00CF59DD" w:rsidRDefault="00CF59DD" w:rsidP="004E19D1">
      <w:pPr>
        <w:pStyle w:val="NoSpacing"/>
      </w:pPr>
      <w:r>
        <w:t xml:space="preserve">Behandling: </w:t>
      </w:r>
      <w:r w:rsidR="00C5185C">
        <w:t>syrgas</w:t>
      </w:r>
      <w:r>
        <w:t>mask, vätska</w:t>
      </w:r>
    </w:p>
    <w:p w:rsidR="00965031" w:rsidRDefault="00965031" w:rsidP="004E19D1">
      <w:pPr>
        <w:pStyle w:val="NoSpacing"/>
      </w:pPr>
      <w:r>
        <w:t>Antibiotikabehandling:</w:t>
      </w:r>
    </w:p>
    <w:p w:rsidR="00965031" w:rsidRDefault="00965031" w:rsidP="004E19D1">
      <w:pPr>
        <w:pStyle w:val="NoSpacing"/>
      </w:pPr>
      <w:proofErr w:type="spellStart"/>
      <w:r>
        <w:t>Cefotaxim</w:t>
      </w:r>
      <w:proofErr w:type="spellEnd"/>
      <w:r>
        <w:t xml:space="preserve"> </w:t>
      </w:r>
      <w:proofErr w:type="spellStart"/>
      <w:r>
        <w:t>i.v</w:t>
      </w:r>
      <w:proofErr w:type="spellEnd"/>
      <w:r>
        <w:t>.</w:t>
      </w:r>
      <w:r w:rsidR="00020DEA">
        <w:t xml:space="preserve"> 1g x3</w:t>
      </w:r>
      <w:r w:rsidR="00F942E3">
        <w:t xml:space="preserve"> utgör basbehandlingen</w:t>
      </w:r>
    </w:p>
    <w:p w:rsidR="003D4B3B" w:rsidRDefault="00965031" w:rsidP="004E19D1">
      <w:pPr>
        <w:pStyle w:val="NoSpacing"/>
      </w:pPr>
      <w:r>
        <w:t>Aminoglykosid (</w:t>
      </w:r>
      <w:proofErr w:type="spellStart"/>
      <w:r>
        <w:t>gentamicin</w:t>
      </w:r>
      <w:proofErr w:type="spellEnd"/>
      <w:r>
        <w:t>)</w:t>
      </w:r>
      <w:r w:rsidR="00020DEA">
        <w:t xml:space="preserve"> 6 mg/kg</w:t>
      </w:r>
      <w:r>
        <w:t xml:space="preserve"> läggs till vid svår samhällsför</w:t>
      </w:r>
      <w:r w:rsidRPr="00965031">
        <w:t>värvad sepsis av helt okänd fokus (</w:t>
      </w:r>
      <w:proofErr w:type="spellStart"/>
      <w:r w:rsidRPr="00965031">
        <w:t>S</w:t>
      </w:r>
      <w:r>
        <w:t>.</w:t>
      </w:r>
      <w:r w:rsidRPr="00965031">
        <w:t>aureus</w:t>
      </w:r>
      <w:proofErr w:type="spellEnd"/>
      <w:r w:rsidRPr="00965031">
        <w:t>, pneumokocker, beta-</w:t>
      </w:r>
      <w:proofErr w:type="spellStart"/>
      <w:r w:rsidRPr="00965031">
        <w:t>hemolyserande</w:t>
      </w:r>
      <w:proofErr w:type="spellEnd"/>
      <w:r w:rsidRPr="00965031">
        <w:t xml:space="preserve"> streptokocker, E</w:t>
      </w:r>
      <w:r w:rsidR="006927CB">
        <w:t>.</w:t>
      </w:r>
      <w:r w:rsidRPr="00965031">
        <w:t xml:space="preserve"> </w:t>
      </w:r>
      <w:proofErr w:type="spellStart"/>
      <w:r w:rsidRPr="00965031">
        <w:t>coli</w:t>
      </w:r>
      <w:proofErr w:type="spellEnd"/>
      <w:r w:rsidRPr="00965031">
        <w:t xml:space="preserve">, </w:t>
      </w:r>
      <w:proofErr w:type="spellStart"/>
      <w:r w:rsidRPr="00965031">
        <w:t>Klebsiella</w:t>
      </w:r>
      <w:proofErr w:type="spellEnd"/>
      <w:r w:rsidRPr="00965031">
        <w:t xml:space="preserve"> </w:t>
      </w:r>
      <w:r>
        <w:t>och dyl</w:t>
      </w:r>
      <w:r w:rsidRPr="00965031">
        <w:t>.</w:t>
      </w:r>
      <w:r>
        <w:t xml:space="preserve"> måste täckas</w:t>
      </w:r>
      <w:r w:rsidR="00F942E3">
        <w:t xml:space="preserve">, men </w:t>
      </w:r>
      <w:proofErr w:type="gramStart"/>
      <w:r w:rsidR="00F942E3">
        <w:t>ej</w:t>
      </w:r>
      <w:proofErr w:type="gramEnd"/>
      <w:r w:rsidR="00F942E3">
        <w:t xml:space="preserve"> vid misstanke om anaerob infektion ex</w:t>
      </w:r>
      <w:r w:rsidR="00C5185C">
        <w:t xml:space="preserve"> från</w:t>
      </w:r>
      <w:r w:rsidR="00F942E3">
        <w:t xml:space="preserve"> bokfokus.</w:t>
      </w:r>
      <w:r w:rsidRPr="00965031">
        <w:t>)</w:t>
      </w:r>
    </w:p>
    <w:p w:rsidR="00E0664E" w:rsidRDefault="00E0664E" w:rsidP="004E19D1">
      <w:pPr>
        <w:pStyle w:val="NoSpacing"/>
      </w:pPr>
    </w:p>
    <w:p w:rsidR="00CD1A4A" w:rsidRDefault="00F942E3" w:rsidP="004E19D1">
      <w:pPr>
        <w:pStyle w:val="NoSpacing"/>
      </w:pPr>
      <w:r>
        <w:t xml:space="preserve">Vid bokfokus ges </w:t>
      </w:r>
      <w:proofErr w:type="spellStart"/>
      <w:r w:rsidR="00244E21">
        <w:t>cefotaxim</w:t>
      </w:r>
      <w:proofErr w:type="spellEnd"/>
      <w:r w:rsidR="00244E21">
        <w:t xml:space="preserve"> alt</w:t>
      </w:r>
      <w:r>
        <w:t xml:space="preserve"> </w:t>
      </w:r>
    </w:p>
    <w:p w:rsidR="00CD1A4A" w:rsidRDefault="00F942E3" w:rsidP="004E19D1">
      <w:pPr>
        <w:pStyle w:val="NoSpacing"/>
      </w:pPr>
      <w:proofErr w:type="spellStart"/>
      <w:r>
        <w:t>piperacillin</w:t>
      </w:r>
      <w:proofErr w:type="spellEnd"/>
      <w:r>
        <w:t>/</w:t>
      </w:r>
      <w:proofErr w:type="spellStart"/>
      <w:r>
        <w:t>tazobactam</w:t>
      </w:r>
      <w:proofErr w:type="spellEnd"/>
      <w:r w:rsidR="00706972">
        <w:t xml:space="preserve"> (</w:t>
      </w:r>
      <w:proofErr w:type="spellStart"/>
      <w:r w:rsidR="00706972" w:rsidRPr="00904A7E">
        <w:t>Tazocin</w:t>
      </w:r>
      <w:proofErr w:type="spellEnd"/>
      <w:r w:rsidR="00706972">
        <w:t>)</w:t>
      </w:r>
      <w:r w:rsidR="00244E21">
        <w:t xml:space="preserve"> + </w:t>
      </w:r>
      <w:proofErr w:type="spellStart"/>
      <w:r w:rsidR="00244E21">
        <w:t>meropenem</w:t>
      </w:r>
      <w:proofErr w:type="spellEnd"/>
      <w:r w:rsidR="00244E21">
        <w:t xml:space="preserve"> alt </w:t>
      </w:r>
    </w:p>
    <w:p w:rsidR="00CD1A4A" w:rsidRDefault="00244E21" w:rsidP="004E19D1">
      <w:pPr>
        <w:pStyle w:val="NoSpacing"/>
      </w:pPr>
      <w:proofErr w:type="spellStart"/>
      <w:r>
        <w:t>metronidazol</w:t>
      </w:r>
      <w:proofErr w:type="spellEnd"/>
      <w:r>
        <w:t xml:space="preserve"> + </w:t>
      </w:r>
      <w:proofErr w:type="spellStart"/>
      <w:r w:rsidR="00B74495">
        <w:t>gentamicin</w:t>
      </w:r>
      <w:proofErr w:type="spellEnd"/>
    </w:p>
    <w:p w:rsidR="00CD1A4A" w:rsidRDefault="00CD1A4A" w:rsidP="004E19D1">
      <w:pPr>
        <w:pStyle w:val="NoSpacing"/>
      </w:pPr>
    </w:p>
    <w:p w:rsidR="00CD1A4A" w:rsidRDefault="00CD1A4A" w:rsidP="004E19D1">
      <w:pPr>
        <w:pStyle w:val="NoSpacing"/>
      </w:pPr>
      <w:r>
        <w:t xml:space="preserve">Vid </w:t>
      </w:r>
      <w:proofErr w:type="spellStart"/>
      <w:r>
        <w:t>urosepsis</w:t>
      </w:r>
      <w:proofErr w:type="spellEnd"/>
      <w:r>
        <w:t xml:space="preserve"> ges </w:t>
      </w:r>
      <w:proofErr w:type="spellStart"/>
      <w:r>
        <w:t>cefotaxim</w:t>
      </w:r>
      <w:proofErr w:type="spellEnd"/>
      <w:r>
        <w:t xml:space="preserve"> alt </w:t>
      </w:r>
    </w:p>
    <w:p w:rsidR="00CD1A4A" w:rsidRDefault="00CD1A4A" w:rsidP="004E19D1">
      <w:pPr>
        <w:pStyle w:val="NoSpacing"/>
      </w:pPr>
      <w:proofErr w:type="spellStart"/>
      <w:r>
        <w:t>piperacillin</w:t>
      </w:r>
      <w:proofErr w:type="spellEnd"/>
      <w:r>
        <w:t>/</w:t>
      </w:r>
      <w:proofErr w:type="spellStart"/>
      <w:r>
        <w:t>tazobactam</w:t>
      </w:r>
      <w:proofErr w:type="spellEnd"/>
      <w:r>
        <w:t xml:space="preserve"> </w:t>
      </w:r>
      <w:r w:rsidR="00706972">
        <w:t>(</w:t>
      </w:r>
      <w:proofErr w:type="spellStart"/>
      <w:r w:rsidR="00706972" w:rsidRPr="00904A7E">
        <w:t>Tazocin</w:t>
      </w:r>
      <w:proofErr w:type="spellEnd"/>
      <w:r w:rsidR="00706972">
        <w:t xml:space="preserve">) </w:t>
      </w:r>
      <w:r>
        <w:t xml:space="preserve">+ ev. </w:t>
      </w:r>
      <w:proofErr w:type="spellStart"/>
      <w:r>
        <w:t>gentamicin</w:t>
      </w:r>
      <w:proofErr w:type="spellEnd"/>
      <w:r>
        <w:t xml:space="preserve"> alt </w:t>
      </w:r>
    </w:p>
    <w:p w:rsidR="00CD1A4A" w:rsidRDefault="00CD1A4A" w:rsidP="004E19D1">
      <w:pPr>
        <w:pStyle w:val="NoSpacing"/>
      </w:pPr>
      <w:proofErr w:type="spellStart"/>
      <w:r>
        <w:t>imipenem</w:t>
      </w:r>
      <w:proofErr w:type="spellEnd"/>
      <w:r>
        <w:t xml:space="preserve"> + ev. </w:t>
      </w:r>
      <w:proofErr w:type="spellStart"/>
      <w:r>
        <w:t>gentamicin</w:t>
      </w:r>
      <w:proofErr w:type="spellEnd"/>
    </w:p>
    <w:p w:rsidR="003D4B3B" w:rsidRDefault="003D4B3B" w:rsidP="004E19D1">
      <w:pPr>
        <w:pStyle w:val="NoSpacing"/>
      </w:pPr>
    </w:p>
    <w:p w:rsidR="006927CB" w:rsidRDefault="006927CB" w:rsidP="004E19D1">
      <w:pPr>
        <w:pStyle w:val="NoSpacing"/>
      </w:pPr>
      <w:r>
        <w:t xml:space="preserve">Komplikation: Disseminerad intravasal koagulation (DIC). En generell aktivering av koagulationssystemet med </w:t>
      </w:r>
      <w:proofErr w:type="spellStart"/>
      <w:r>
        <w:t>mikroemboliseringar</w:t>
      </w:r>
      <w:proofErr w:type="spellEnd"/>
      <w:r>
        <w:t xml:space="preserve"> samt blödningar.</w:t>
      </w:r>
    </w:p>
    <w:p w:rsidR="006927CB" w:rsidRDefault="006927CB" w:rsidP="004E19D1">
      <w:pPr>
        <w:pStyle w:val="NoSpacing"/>
      </w:pPr>
      <w:r>
        <w:t xml:space="preserve">DIC-prover: TPK, INR, </w:t>
      </w:r>
      <w:proofErr w:type="spellStart"/>
      <w:r>
        <w:t>fibrinogen</w:t>
      </w:r>
      <w:proofErr w:type="spellEnd"/>
      <w:r>
        <w:t>, D-</w:t>
      </w:r>
      <w:proofErr w:type="spellStart"/>
      <w:r>
        <w:t>Dimer</w:t>
      </w:r>
      <w:proofErr w:type="spellEnd"/>
      <w:r>
        <w:t xml:space="preserve">. </w:t>
      </w:r>
    </w:p>
    <w:p w:rsidR="006927CB" w:rsidRDefault="006927CB" w:rsidP="004E19D1">
      <w:pPr>
        <w:pStyle w:val="NoSpacing"/>
      </w:pPr>
    </w:p>
    <w:p w:rsidR="00EB55AA" w:rsidRDefault="00EB55AA" w:rsidP="00EB55AA">
      <w:pPr>
        <w:pStyle w:val="Heading2"/>
      </w:pPr>
      <w:proofErr w:type="spellStart"/>
      <w:r>
        <w:t>Endokardit</w:t>
      </w:r>
      <w:proofErr w:type="spellEnd"/>
    </w:p>
    <w:p w:rsidR="00F212EF" w:rsidRDefault="00F212EF" w:rsidP="00EB55AA">
      <w:pPr>
        <w:pStyle w:val="NoSpacing"/>
      </w:pPr>
      <w:r>
        <w:t xml:space="preserve">Riskfaktor: IV-missbruk (drabbar främst </w:t>
      </w:r>
      <w:proofErr w:type="spellStart"/>
      <w:r>
        <w:t>tricuspidalisklaffen</w:t>
      </w:r>
      <w:proofErr w:type="spellEnd"/>
      <w:r>
        <w:t>)</w:t>
      </w:r>
    </w:p>
    <w:p w:rsidR="00297EF4" w:rsidRPr="00297EF4" w:rsidRDefault="00EB55AA" w:rsidP="00297EF4">
      <w:pPr>
        <w:pStyle w:val="NoSpacing"/>
      </w:pPr>
      <w:r>
        <w:t xml:space="preserve">Etiologi: </w:t>
      </w:r>
    </w:p>
    <w:p w:rsidR="00297EF4" w:rsidRDefault="00297EF4" w:rsidP="00297EF4">
      <w:pPr>
        <w:pStyle w:val="NoSpacing"/>
      </w:pPr>
      <w:r w:rsidRPr="00297EF4">
        <w:t>Akuta agens: S</w:t>
      </w:r>
      <w:r w:rsidR="00EB55AA" w:rsidRPr="00297EF4">
        <w:t xml:space="preserve">. </w:t>
      </w:r>
      <w:proofErr w:type="spellStart"/>
      <w:r w:rsidRPr="00297EF4">
        <w:t>A</w:t>
      </w:r>
      <w:r w:rsidR="00EB55AA" w:rsidRPr="00297EF4">
        <w:t>ureus</w:t>
      </w:r>
      <w:proofErr w:type="spellEnd"/>
      <w:r w:rsidR="00EB55AA" w:rsidRPr="00297EF4">
        <w:t xml:space="preserve"> (</w:t>
      </w:r>
      <w:r w:rsidR="004B0C80">
        <w:t>vanligast</w:t>
      </w:r>
      <w:r w:rsidR="00EB55AA" w:rsidRPr="00297EF4">
        <w:t xml:space="preserve">; </w:t>
      </w:r>
      <w:r w:rsidR="004B0C80">
        <w:t xml:space="preserve">akut, </w:t>
      </w:r>
      <w:r w:rsidR="00EA3197" w:rsidRPr="00297EF4">
        <w:t>fulminant förlopp</w:t>
      </w:r>
      <w:r w:rsidR="00EB55AA" w:rsidRPr="00297EF4">
        <w:t>)</w:t>
      </w:r>
      <w:r w:rsidRPr="00297EF4">
        <w:t xml:space="preserve">, pneumokocker, S. </w:t>
      </w:r>
      <w:proofErr w:type="spellStart"/>
      <w:r w:rsidRPr="00297EF4">
        <w:t>pyogenes</w:t>
      </w:r>
      <w:proofErr w:type="spellEnd"/>
      <w:r w:rsidR="00EB55AA" w:rsidRPr="00297EF4">
        <w:t>,</w:t>
      </w:r>
      <w:r w:rsidR="00EB55AA">
        <w:t xml:space="preserve"> </w:t>
      </w:r>
    </w:p>
    <w:p w:rsidR="00297EF4" w:rsidRPr="00297EF4" w:rsidRDefault="00297EF4" w:rsidP="00297EF4">
      <w:pPr>
        <w:pStyle w:val="NoSpacing"/>
      </w:pPr>
      <w:r>
        <w:t xml:space="preserve">Subakuta agens: </w:t>
      </w:r>
      <w:r w:rsidR="00F008DC">
        <w:t>alfa-streptokocker</w:t>
      </w:r>
      <w:r w:rsidR="00EB55AA">
        <w:t xml:space="preserve"> (</w:t>
      </w:r>
      <w:r w:rsidR="004B0C80">
        <w:t>näst vanligast; subakut</w:t>
      </w:r>
      <w:r w:rsidR="00EA3197">
        <w:t xml:space="preserve"> förlopp tar veckor</w:t>
      </w:r>
      <w:r w:rsidR="00EB55AA">
        <w:t>)</w:t>
      </w:r>
      <w:r>
        <w:t xml:space="preserve">, </w:t>
      </w:r>
      <w:r w:rsidRPr="00297EF4">
        <w:t>enterokocker, HACEK.</w:t>
      </w:r>
    </w:p>
    <w:p w:rsidR="00EB55AA" w:rsidRDefault="00C1408B" w:rsidP="00297EF4">
      <w:pPr>
        <w:pStyle w:val="NoSpacing"/>
      </w:pPr>
      <w:r>
        <w:t>Symtom: feb</w:t>
      </w:r>
      <w:r w:rsidR="001C4464">
        <w:t>er</w:t>
      </w:r>
      <w:r w:rsidR="00EB55AA" w:rsidRPr="00297EF4">
        <w:t xml:space="preserve">, nytillkommet blåsljud, tecken på </w:t>
      </w:r>
      <w:r w:rsidR="00F212EF">
        <w:t>[septiska] embolier</w:t>
      </w:r>
      <w:r w:rsidR="00DE4330">
        <w:t xml:space="preserve"> (</w:t>
      </w:r>
      <w:r w:rsidR="00045681">
        <w:t xml:space="preserve">exv. </w:t>
      </w:r>
      <w:r w:rsidR="00DE4330">
        <w:t>stroke)</w:t>
      </w:r>
      <w:r w:rsidR="00EB55AA">
        <w:t xml:space="preserve">, hjärtsvikt, hudutslag, (mikroskopiskt </w:t>
      </w:r>
      <w:proofErr w:type="spellStart"/>
      <w:r w:rsidR="00EB55AA">
        <w:t>hematuri</w:t>
      </w:r>
      <w:proofErr w:type="spellEnd"/>
      <w:r w:rsidR="00EB55AA">
        <w:t xml:space="preserve"> är ett immunologisk</w:t>
      </w:r>
      <w:r w:rsidR="00E0664E">
        <w:t>t</w:t>
      </w:r>
      <w:r w:rsidR="00EB55AA">
        <w:t xml:space="preserve"> fenomen som överensstämmer med </w:t>
      </w:r>
      <w:proofErr w:type="spellStart"/>
      <w:r w:rsidR="00EB55AA">
        <w:t>endokardit</w:t>
      </w:r>
      <w:proofErr w:type="spellEnd"/>
      <w:r w:rsidR="00EB55AA">
        <w:t>)</w:t>
      </w:r>
    </w:p>
    <w:p w:rsidR="00EB55AA" w:rsidRDefault="00EB55AA" w:rsidP="00EB55AA">
      <w:pPr>
        <w:pStyle w:val="NoSpacing"/>
      </w:pPr>
      <w:r>
        <w:t>Utredning: blododling x 3, TEE</w:t>
      </w:r>
      <w:proofErr w:type="gramStart"/>
      <w:r>
        <w:t xml:space="preserve"> (Klaffvegetationer?</w:t>
      </w:r>
      <w:proofErr w:type="gramEnd"/>
      <w:r>
        <w:t xml:space="preserve"> </w:t>
      </w:r>
      <w:proofErr w:type="spellStart"/>
      <w:r>
        <w:t>Hjärtfkn</w:t>
      </w:r>
      <w:proofErr w:type="spellEnd"/>
      <w:r>
        <w:t>/EF/svikt?)</w:t>
      </w:r>
      <w:r w:rsidR="00045681">
        <w:t>, lungröntgen</w:t>
      </w:r>
    </w:p>
    <w:p w:rsidR="00297EF4" w:rsidRDefault="00297EF4" w:rsidP="00EB55AA">
      <w:pPr>
        <w:pStyle w:val="NoSpacing"/>
      </w:pPr>
      <w:r>
        <w:t>Behandling:</w:t>
      </w:r>
      <w:r w:rsidR="00F212EF">
        <w:t xml:space="preserve"> måste ges IV för att få tillräckliga koncentrationer av antibiotika vid vegetationen.</w:t>
      </w:r>
    </w:p>
    <w:p w:rsidR="00EA3197" w:rsidRDefault="00EB55AA" w:rsidP="00EB55AA">
      <w:pPr>
        <w:pStyle w:val="NoSpacing"/>
      </w:pPr>
      <w:proofErr w:type="spellStart"/>
      <w:r w:rsidRPr="00D4265B">
        <w:t>Kloxacillin</w:t>
      </w:r>
      <w:proofErr w:type="spellEnd"/>
      <w:r w:rsidR="00D4265B">
        <w:t xml:space="preserve"> </w:t>
      </w:r>
      <w:r w:rsidR="00297EF4">
        <w:t>+ ev. aminoglykosid om</w:t>
      </w:r>
      <w:r w:rsidR="00EA5480">
        <w:t xml:space="preserve"> </w:t>
      </w:r>
      <w:r w:rsidR="00297EF4">
        <w:t>S</w:t>
      </w:r>
      <w:r w:rsidR="00EA5480">
        <w:t>.</w:t>
      </w:r>
      <w:r w:rsidR="00297EF4">
        <w:t xml:space="preserve"> </w:t>
      </w:r>
      <w:proofErr w:type="spellStart"/>
      <w:r w:rsidR="00297EF4">
        <w:t>A</w:t>
      </w:r>
      <w:r w:rsidR="00EA5480">
        <w:t>ureus</w:t>
      </w:r>
      <w:proofErr w:type="spellEnd"/>
      <w:r w:rsidR="00297EF4">
        <w:t xml:space="preserve"> </w:t>
      </w:r>
      <w:r w:rsidR="00D4265B">
        <w:t>trolig</w:t>
      </w:r>
    </w:p>
    <w:p w:rsidR="00EB55AA" w:rsidRDefault="00EA3197" w:rsidP="00EB55AA">
      <w:pPr>
        <w:pStyle w:val="NoSpacing"/>
      </w:pPr>
      <w:proofErr w:type="spellStart"/>
      <w:r>
        <w:t>PcG</w:t>
      </w:r>
      <w:proofErr w:type="spellEnd"/>
      <w:r>
        <w:t xml:space="preserve"> + </w:t>
      </w:r>
      <w:r w:rsidR="00EB55AA">
        <w:t>aminoglykosid</w:t>
      </w:r>
      <w:r w:rsidR="00E0664E">
        <w:t xml:space="preserve"> (</w:t>
      </w:r>
      <w:proofErr w:type="spellStart"/>
      <w:r w:rsidR="00E0664E">
        <w:t>Gentami</w:t>
      </w:r>
      <w:r w:rsidR="00297EF4">
        <w:t>cin</w:t>
      </w:r>
      <w:proofErr w:type="spellEnd"/>
      <w:r w:rsidR="00297EF4">
        <w:t xml:space="preserve">) om S. </w:t>
      </w:r>
      <w:proofErr w:type="spellStart"/>
      <w:r w:rsidR="00297EF4">
        <w:t>Aureus</w:t>
      </w:r>
      <w:proofErr w:type="spellEnd"/>
      <w:r w:rsidR="00297EF4">
        <w:t xml:space="preserve"> osannolik</w:t>
      </w:r>
    </w:p>
    <w:p w:rsidR="00EB55AA" w:rsidRDefault="00EB55AA" w:rsidP="00EB55AA">
      <w:pPr>
        <w:pStyle w:val="NoSpacing"/>
      </w:pPr>
      <w:r>
        <w:t xml:space="preserve">Handläggning: kontakt med kardiolog för övervakning av ev. svikt som </w:t>
      </w:r>
      <w:proofErr w:type="spellStart"/>
      <w:r>
        <w:t>insuff</w:t>
      </w:r>
      <w:proofErr w:type="spellEnd"/>
      <w:r>
        <w:t xml:space="preserve"> kan medföra samt thoraxkirurg </w:t>
      </w:r>
      <w:proofErr w:type="spellStart"/>
      <w:r>
        <w:t>pga</w:t>
      </w:r>
      <w:proofErr w:type="spellEnd"/>
      <w:r>
        <w:t xml:space="preserve"> </w:t>
      </w:r>
      <w:proofErr w:type="spellStart"/>
      <w:r>
        <w:t>op-indiktation</w:t>
      </w:r>
      <w:proofErr w:type="spellEnd"/>
      <w:r w:rsidR="00303E4E">
        <w:t xml:space="preserve"> som </w:t>
      </w:r>
      <w:proofErr w:type="spellStart"/>
      <w:r w:rsidR="00303E4E">
        <w:t>väsidig</w:t>
      </w:r>
      <w:proofErr w:type="spellEnd"/>
      <w:r w:rsidR="00303E4E">
        <w:t xml:space="preserve"> hjärtengagemang, svikt, abscess; behandlingssvikt, feber</w:t>
      </w:r>
      <w:r w:rsidR="004B0C80">
        <w:t>, stigande CRP under behandling.</w:t>
      </w:r>
    </w:p>
    <w:p w:rsidR="00EB55AA" w:rsidRDefault="00EB55AA" w:rsidP="00EB55AA">
      <w:pPr>
        <w:pStyle w:val="NoSpacing"/>
      </w:pPr>
      <w:r>
        <w:t>Komplikation: hjärtsvikt</w:t>
      </w:r>
    </w:p>
    <w:p w:rsidR="00EB55AA" w:rsidRPr="003523DE" w:rsidRDefault="00EB55AA" w:rsidP="00EB55AA">
      <w:pPr>
        <w:pStyle w:val="NoSpacing"/>
      </w:pPr>
      <w:r>
        <w:t xml:space="preserve">Handläggning: </w:t>
      </w:r>
      <w:r w:rsidRPr="003523DE">
        <w:t xml:space="preserve">gör kontroll BT, puls, AF, </w:t>
      </w:r>
      <w:r w:rsidR="004B0C80">
        <w:t>SaO2</w:t>
      </w:r>
      <w:r w:rsidRPr="003523DE">
        <w:t>, daglig vikt och hjärtauskultation</w:t>
      </w:r>
    </w:p>
    <w:p w:rsidR="00EB55AA" w:rsidRPr="003523DE" w:rsidRDefault="00EB55AA" w:rsidP="00EB55AA">
      <w:pPr>
        <w:pStyle w:val="NoSpacing"/>
      </w:pPr>
    </w:p>
    <w:p w:rsidR="00EB55AA" w:rsidRDefault="00EB55AA" w:rsidP="00EB55AA">
      <w:pPr>
        <w:pStyle w:val="Heading2"/>
      </w:pPr>
      <w:r>
        <w:t>Tropiksjukdom</w:t>
      </w:r>
    </w:p>
    <w:p w:rsidR="00EB55AA" w:rsidRDefault="00EB55AA" w:rsidP="00EB55AA">
      <w:pPr>
        <w:pStyle w:val="Heading3"/>
      </w:pPr>
      <w:r>
        <w:t xml:space="preserve">Giardia </w:t>
      </w:r>
      <w:proofErr w:type="spellStart"/>
      <w:r>
        <w:t>intestinalis</w:t>
      </w:r>
      <w:proofErr w:type="spellEnd"/>
    </w:p>
    <w:p w:rsidR="00EB55AA" w:rsidRDefault="00EB55AA" w:rsidP="00EB55AA">
      <w:pPr>
        <w:pStyle w:val="NoSpacing"/>
      </w:pPr>
      <w:r>
        <w:t>Symtom: 1-2 v inkubationstid, vattnig diarré, uppspändhet, gasbildning, oftast utan feber.</w:t>
      </w:r>
    </w:p>
    <w:p w:rsidR="00EB55AA" w:rsidRDefault="00EB55AA" w:rsidP="00EB55AA">
      <w:pPr>
        <w:pStyle w:val="NoSpacing"/>
      </w:pPr>
      <w:r>
        <w:t xml:space="preserve">Undersökning: </w:t>
      </w:r>
      <w:proofErr w:type="spellStart"/>
      <w:r>
        <w:t>Faecesmikroskopi</w:t>
      </w:r>
      <w:proofErr w:type="spellEnd"/>
      <w:r>
        <w:t xml:space="preserve"> (cystor och </w:t>
      </w:r>
      <w:proofErr w:type="spellStart"/>
      <w:r>
        <w:t>maskägg</w:t>
      </w:r>
      <w:proofErr w:type="spellEnd"/>
      <w:r>
        <w:t>)</w:t>
      </w:r>
    </w:p>
    <w:p w:rsidR="00EB55AA" w:rsidRDefault="00EB55AA" w:rsidP="00EB55AA">
      <w:pPr>
        <w:pStyle w:val="NoSpacing"/>
      </w:pPr>
      <w:r>
        <w:t xml:space="preserve">Behandling: </w:t>
      </w:r>
      <w:proofErr w:type="spellStart"/>
      <w:r>
        <w:t>Fasigyn</w:t>
      </w:r>
      <w:proofErr w:type="spellEnd"/>
      <w:r>
        <w:t xml:space="preserve"> (</w:t>
      </w:r>
      <w:proofErr w:type="spellStart"/>
      <w:r>
        <w:t>tinidazol</w:t>
      </w:r>
      <w:proofErr w:type="spellEnd"/>
      <w:r>
        <w:t xml:space="preserve">) </w:t>
      </w:r>
      <w:r w:rsidRPr="000D75B7">
        <w:rPr>
          <w:u w:val="single"/>
        </w:rPr>
        <w:t>alt</w:t>
      </w:r>
      <w:r>
        <w:t xml:space="preserve"> </w:t>
      </w:r>
      <w:proofErr w:type="spellStart"/>
      <w:r>
        <w:t>Flagyl</w:t>
      </w:r>
      <w:proofErr w:type="spellEnd"/>
      <w:r>
        <w:t xml:space="preserve"> (</w:t>
      </w:r>
      <w:proofErr w:type="spellStart"/>
      <w:r>
        <w:t>metronidazol</w:t>
      </w:r>
      <w:proofErr w:type="spellEnd"/>
      <w:r>
        <w:t>)</w:t>
      </w:r>
    </w:p>
    <w:p w:rsidR="00EB55AA" w:rsidRDefault="00EB55AA" w:rsidP="00EB55AA">
      <w:pPr>
        <w:pStyle w:val="NoSpacing"/>
      </w:pPr>
    </w:p>
    <w:p w:rsidR="00EB55AA" w:rsidRDefault="00EB55AA" w:rsidP="00EB55AA">
      <w:pPr>
        <w:pStyle w:val="Heading3"/>
      </w:pPr>
      <w:proofErr w:type="spellStart"/>
      <w:r>
        <w:lastRenderedPageBreak/>
        <w:t>Dengue</w:t>
      </w:r>
      <w:proofErr w:type="spellEnd"/>
    </w:p>
    <w:p w:rsidR="00EB55AA" w:rsidRPr="000969CF" w:rsidRDefault="00EB55AA" w:rsidP="00EB55AA">
      <w:pPr>
        <w:pStyle w:val="NoSpacing"/>
      </w:pPr>
      <w:r>
        <w:t>Vanligaste ar</w:t>
      </w:r>
      <w:r w:rsidRPr="000969CF">
        <w:t>bovirusinfektionen globalt. Vanligaste importinfektionen i Sverige.</w:t>
      </w:r>
    </w:p>
    <w:p w:rsidR="00EB55AA" w:rsidRDefault="00EB55AA" w:rsidP="00EB55AA">
      <w:pPr>
        <w:pStyle w:val="NoSpacing"/>
      </w:pPr>
    </w:p>
    <w:p w:rsidR="004274A5" w:rsidRDefault="004274A5" w:rsidP="004274A5">
      <w:pPr>
        <w:pStyle w:val="Heading3"/>
      </w:pPr>
      <w:r>
        <w:t>Rabies</w:t>
      </w:r>
    </w:p>
    <w:p w:rsidR="004274A5" w:rsidRPr="004274A5" w:rsidRDefault="004274A5" w:rsidP="004274A5">
      <w:pPr>
        <w:pStyle w:val="NoSpacing"/>
      </w:pPr>
      <w:r>
        <w:t>Ingen risk för smitta om djuret som gav bettet inte är dött inom en vecka.</w:t>
      </w:r>
    </w:p>
    <w:p w:rsidR="004274A5" w:rsidRPr="007F4D96" w:rsidRDefault="004274A5" w:rsidP="00EB55AA">
      <w:pPr>
        <w:pStyle w:val="NoSpacing"/>
      </w:pPr>
    </w:p>
    <w:p w:rsidR="00D4265B" w:rsidRDefault="00D4265B" w:rsidP="00D4265B">
      <w:pPr>
        <w:pStyle w:val="Heading3"/>
      </w:pPr>
      <w:r>
        <w:t>Malaria</w:t>
      </w:r>
    </w:p>
    <w:p w:rsidR="00D4265B" w:rsidRDefault="00D4265B" w:rsidP="00D4265B">
      <w:pPr>
        <w:pStyle w:val="NoSpacing"/>
      </w:pPr>
      <w:r w:rsidRPr="000969CF">
        <w:t xml:space="preserve">Den allvarligaste formen av malaria orsakas av P. </w:t>
      </w:r>
      <w:proofErr w:type="spellStart"/>
      <w:r w:rsidRPr="000969CF">
        <w:t>falciparum</w:t>
      </w:r>
      <w:proofErr w:type="spellEnd"/>
      <w:r w:rsidRPr="000969CF">
        <w:t>. Inkubationstiden för denna form är som regel hö</w:t>
      </w:r>
      <w:r>
        <w:t>gst 4 veckor</w:t>
      </w:r>
      <w:r w:rsidRPr="000969CF">
        <w:t xml:space="preserve">. </w:t>
      </w:r>
      <w:proofErr w:type="spellStart"/>
      <w:r w:rsidRPr="000969CF">
        <w:t>Hypnozoiter</w:t>
      </w:r>
      <w:proofErr w:type="spellEnd"/>
      <w:r w:rsidRPr="000969CF">
        <w:t xml:space="preserve"> av P. </w:t>
      </w:r>
      <w:proofErr w:type="spellStart"/>
      <w:r w:rsidRPr="000969CF">
        <w:t>falciparum</w:t>
      </w:r>
      <w:proofErr w:type="spellEnd"/>
      <w:r w:rsidRPr="000969CF">
        <w:t xml:space="preserve"> existerar inte varför recidiv efter</w:t>
      </w:r>
      <w:r>
        <w:t xml:space="preserve"> behandling inte förekommer.</w:t>
      </w:r>
    </w:p>
    <w:p w:rsidR="00EF0B61" w:rsidRDefault="00EF0B61" w:rsidP="009737A9">
      <w:pPr>
        <w:pStyle w:val="NoSpacing"/>
      </w:pPr>
      <w:r>
        <w:t>Symtom:</w:t>
      </w:r>
      <w:r w:rsidR="006E58B7">
        <w:t xml:space="preserve"> </w:t>
      </w:r>
      <w:r w:rsidR="009737A9">
        <w:t>Feber, frossa, huvudvärk, ledmuskelvärk.</w:t>
      </w:r>
    </w:p>
    <w:p w:rsidR="00D4265B" w:rsidRDefault="00EF0B61" w:rsidP="00D4265B">
      <w:pPr>
        <w:pStyle w:val="NoSpacing"/>
      </w:pPr>
      <w:r>
        <w:t xml:space="preserve">Diagnos: tjock droppe </w:t>
      </w:r>
      <w:r w:rsidR="00D53831">
        <w:t xml:space="preserve">(info om malaria eller </w:t>
      </w:r>
      <w:proofErr w:type="gramStart"/>
      <w:r w:rsidR="00D53831">
        <w:t>ej</w:t>
      </w:r>
      <w:proofErr w:type="gramEnd"/>
      <w:r w:rsidR="00D53831">
        <w:t xml:space="preserve">) </w:t>
      </w:r>
      <w:r>
        <w:t>+</w:t>
      </w:r>
      <w:r w:rsidR="00D4265B" w:rsidRPr="000969CF">
        <w:t xml:space="preserve"> utstryk</w:t>
      </w:r>
      <w:r w:rsidR="00D53831">
        <w:t xml:space="preserve"> (artbestämning och </w:t>
      </w:r>
      <w:proofErr w:type="spellStart"/>
      <w:r w:rsidR="00D53831">
        <w:t>parasitemigrad</w:t>
      </w:r>
      <w:proofErr w:type="spellEnd"/>
      <w:r w:rsidR="00D53831">
        <w:t>)</w:t>
      </w:r>
      <w:r w:rsidR="00D4265B" w:rsidRPr="000969CF">
        <w:t>,</w:t>
      </w:r>
      <w:r>
        <w:t xml:space="preserve"> snabbtest</w:t>
      </w:r>
      <w:r w:rsidR="00311244">
        <w:t xml:space="preserve"> (</w:t>
      </w:r>
      <w:proofErr w:type="spellStart"/>
      <w:r w:rsidR="00311244">
        <w:t>malaquick</w:t>
      </w:r>
      <w:proofErr w:type="spellEnd"/>
      <w:r w:rsidR="00311244">
        <w:t>)</w:t>
      </w:r>
      <w:r>
        <w:t>,</w:t>
      </w:r>
      <w:r w:rsidR="00D4265B" w:rsidRPr="000969CF">
        <w:t xml:space="preserve"> antigenbestämning i blod</w:t>
      </w:r>
      <w:r w:rsidR="005F039C">
        <w:t xml:space="preserve"> (sällan, ej rutinprov)</w:t>
      </w:r>
      <w:r w:rsidR="00D4265B" w:rsidRPr="000969CF">
        <w:t>.</w:t>
      </w:r>
    </w:p>
    <w:p w:rsidR="00D4265B" w:rsidRDefault="00D4265B" w:rsidP="00D4265B">
      <w:pPr>
        <w:pStyle w:val="NoSpacing"/>
      </w:pPr>
    </w:p>
    <w:p w:rsidR="006E58B7" w:rsidRDefault="006E58B7" w:rsidP="006E58B7">
      <w:pPr>
        <w:pStyle w:val="Heading3"/>
      </w:pPr>
      <w:r>
        <w:t>Springmask</w:t>
      </w:r>
    </w:p>
    <w:p w:rsidR="006E58B7" w:rsidRDefault="002D4ED5" w:rsidP="006E58B7">
      <w:pPr>
        <w:pStyle w:val="NoSpacing"/>
      </w:pPr>
      <w:r>
        <w:t xml:space="preserve">Symtom: analklåda, svårt att sova, </w:t>
      </w:r>
      <w:proofErr w:type="spellStart"/>
      <w:r>
        <w:t>perianal</w:t>
      </w:r>
      <w:proofErr w:type="spellEnd"/>
      <w:r>
        <w:t xml:space="preserve"> inflammation.</w:t>
      </w:r>
    </w:p>
    <w:p w:rsidR="002D4ED5" w:rsidRPr="006E58B7" w:rsidRDefault="002D4ED5" w:rsidP="006E58B7">
      <w:pPr>
        <w:pStyle w:val="NoSpacing"/>
      </w:pPr>
      <w:r>
        <w:t xml:space="preserve">Behandling: </w:t>
      </w:r>
      <w:proofErr w:type="spellStart"/>
      <w:r>
        <w:t>Mebendazol</w:t>
      </w:r>
      <w:proofErr w:type="spellEnd"/>
      <w:r>
        <w:t>.</w:t>
      </w:r>
    </w:p>
    <w:p w:rsidR="006E58B7" w:rsidRPr="000969CF" w:rsidRDefault="006E58B7" w:rsidP="00D4265B">
      <w:pPr>
        <w:pStyle w:val="NoSpacing"/>
      </w:pPr>
    </w:p>
    <w:p w:rsidR="00EB55AA" w:rsidRDefault="00EB55AA" w:rsidP="00EB55AA">
      <w:pPr>
        <w:pStyle w:val="Heading2"/>
      </w:pPr>
      <w:r>
        <w:t>Smittskydd</w:t>
      </w:r>
    </w:p>
    <w:p w:rsidR="00EB55AA" w:rsidRPr="00385B56" w:rsidRDefault="00EB55AA" w:rsidP="00EB55AA">
      <w:pPr>
        <w:pStyle w:val="Heading3"/>
      </w:pPr>
      <w:r>
        <w:t>Smittskyddslag</w:t>
      </w:r>
    </w:p>
    <w:p w:rsidR="00EB55AA" w:rsidRDefault="00EB55AA" w:rsidP="00EB55AA">
      <w:pPr>
        <w:pStyle w:val="NoSpacing"/>
      </w:pPr>
      <w:r>
        <w:t xml:space="preserve">Syfte begränsa förekomst av smittsamma sjukdomar. Andra personer än patienter ska </w:t>
      </w:r>
      <w:proofErr w:type="gramStart"/>
      <w:r>
        <w:t>ej</w:t>
      </w:r>
      <w:proofErr w:type="gramEnd"/>
      <w:r>
        <w:t xml:space="preserve"> drabbas, smittade personer ska </w:t>
      </w:r>
      <w:r w:rsidR="00C55E26">
        <w:t>spåras</w:t>
      </w:r>
      <w:r>
        <w:t>. Anmäl till smittskyddsläkaren och SMI.</w:t>
      </w:r>
    </w:p>
    <w:p w:rsidR="00EB55AA" w:rsidRDefault="00EB55AA" w:rsidP="00EB55AA">
      <w:pPr>
        <w:pStyle w:val="NoSpacing"/>
      </w:pPr>
    </w:p>
    <w:p w:rsidR="00193C7B" w:rsidRDefault="00193C7B" w:rsidP="00193C7B">
      <w:pPr>
        <w:pStyle w:val="Heading3"/>
      </w:pPr>
      <w:r>
        <w:t>Prevalens vs incidens</w:t>
      </w:r>
    </w:p>
    <w:p w:rsidR="00193C7B" w:rsidRPr="00193C7B" w:rsidRDefault="00193C7B" w:rsidP="00193C7B">
      <w:pPr>
        <w:pStyle w:val="NoSpacing"/>
      </w:pPr>
      <w:r w:rsidRPr="00193C7B">
        <w:t xml:space="preserve">Incidens = antalet personer som får en viss sjukdom under en viss tidsperiod, </w:t>
      </w:r>
      <w:proofErr w:type="spellStart"/>
      <w:r w:rsidRPr="00193C7B">
        <w:t>exv</w:t>
      </w:r>
      <w:proofErr w:type="spellEnd"/>
      <w:r w:rsidRPr="00193C7B">
        <w:t xml:space="preserve"> ett år. </w:t>
      </w:r>
    </w:p>
    <w:p w:rsidR="00193C7B" w:rsidRPr="00193C7B" w:rsidRDefault="00193C7B" w:rsidP="00193C7B">
      <w:pPr>
        <w:pStyle w:val="NoSpacing"/>
      </w:pPr>
      <w:r w:rsidRPr="00193C7B">
        <w:t xml:space="preserve">Prevalens= </w:t>
      </w:r>
      <w:r w:rsidR="00C55E26">
        <w:t>antal</w:t>
      </w:r>
      <w:r w:rsidRPr="00193C7B">
        <w:t xml:space="preserve"> personer som vid ett visst tillfälle, </w:t>
      </w:r>
      <w:proofErr w:type="spellStart"/>
      <w:r w:rsidRPr="00193C7B">
        <w:t>exv</w:t>
      </w:r>
      <w:proofErr w:type="spellEnd"/>
      <w:r w:rsidRPr="00193C7B">
        <w:t xml:space="preserve"> en dag</w:t>
      </w:r>
      <w:r>
        <w:t>,</w:t>
      </w:r>
      <w:r w:rsidRPr="00193C7B">
        <w:t xml:space="preserve"> har en sjukdom. </w:t>
      </w:r>
    </w:p>
    <w:p w:rsidR="00193C7B" w:rsidRDefault="00193C7B" w:rsidP="00193C7B">
      <w:pPr>
        <w:pStyle w:val="NoSpacing"/>
      </w:pPr>
    </w:p>
    <w:p w:rsidR="00193C7B" w:rsidRDefault="00193C7B" w:rsidP="00193C7B">
      <w:pPr>
        <w:pStyle w:val="NoSpacing"/>
      </w:pPr>
      <w:r w:rsidRPr="00193C7B">
        <w:t>För infektionssjukdomar med snabbt förlopp som influensa blir prevalensen mindre intressant, varierar mellan 0 i juli och ofta flera procent i januari.</w:t>
      </w:r>
    </w:p>
    <w:p w:rsidR="00193C7B" w:rsidRPr="00193C7B" w:rsidRDefault="00193C7B" w:rsidP="00193C7B">
      <w:pPr>
        <w:pStyle w:val="NoSpacing"/>
      </w:pPr>
    </w:p>
    <w:p w:rsidR="00EB55AA" w:rsidRDefault="00EB55AA" w:rsidP="00EB55AA">
      <w:pPr>
        <w:pStyle w:val="Heading2"/>
      </w:pPr>
      <w:r>
        <w:t>Oklara febertillstånd</w:t>
      </w:r>
    </w:p>
    <w:p w:rsidR="00EB55AA" w:rsidRPr="00EA6E22" w:rsidRDefault="00EB55AA" w:rsidP="00EB55AA"/>
    <w:p w:rsidR="00EB55AA" w:rsidRDefault="00EB55AA" w:rsidP="00EB55AA">
      <w:pPr>
        <w:pStyle w:val="Heading2"/>
      </w:pPr>
      <w:r>
        <w:t>HIV/AIDS</w:t>
      </w:r>
    </w:p>
    <w:p w:rsidR="00AD7477" w:rsidRDefault="00AD7477" w:rsidP="00193C7B">
      <w:pPr>
        <w:pStyle w:val="NoSpacing"/>
      </w:pPr>
      <w:r>
        <w:t xml:space="preserve">Epidemiologi: Ca 0,5 promille av Sveriges befolkning lever med en känd HIV-infektion. </w:t>
      </w:r>
    </w:p>
    <w:p w:rsidR="00193C7B" w:rsidRDefault="00193C7B" w:rsidP="00193C7B">
      <w:pPr>
        <w:pStyle w:val="NoSpacing"/>
      </w:pPr>
      <w:r>
        <w:t>Virusmängden är korrelerad till långtidsprognosen.</w:t>
      </w:r>
    </w:p>
    <w:p w:rsidR="00AD7477" w:rsidRDefault="00BD16F5" w:rsidP="00AD7477">
      <w:pPr>
        <w:pStyle w:val="NoSpacing"/>
      </w:pPr>
      <w:r>
        <w:t>Prover: CD4</w:t>
      </w:r>
      <w:r w:rsidR="009E66CE">
        <w:t xml:space="preserve"> och HIV-RNA</w:t>
      </w:r>
      <w:r>
        <w:t xml:space="preserve"> (</w:t>
      </w:r>
      <w:r w:rsidR="00AD7477">
        <w:t>talar om graden av immundefekt)</w:t>
      </w:r>
    </w:p>
    <w:p w:rsidR="00A9147D" w:rsidRDefault="00A9147D" w:rsidP="00AD7477">
      <w:pPr>
        <w:pStyle w:val="NoSpacing"/>
      </w:pPr>
    </w:p>
    <w:p w:rsidR="006927CB" w:rsidRDefault="006927CB" w:rsidP="006927CB">
      <w:pPr>
        <w:pStyle w:val="Heading3"/>
      </w:pPr>
      <w:r>
        <w:t>Diagnos</w:t>
      </w:r>
    </w:p>
    <w:p w:rsidR="006927CB" w:rsidRPr="006927CB" w:rsidRDefault="006927CB" w:rsidP="006927CB">
      <w:r>
        <w:t>Antigen och antikroppar</w:t>
      </w:r>
    </w:p>
    <w:p w:rsidR="00EB55AA" w:rsidRPr="00F02EC0" w:rsidRDefault="00EB55AA" w:rsidP="00EB55AA">
      <w:pPr>
        <w:pStyle w:val="Heading3"/>
      </w:pPr>
      <w:r>
        <w:t>Primärinfektion</w:t>
      </w:r>
    </w:p>
    <w:p w:rsidR="00EB55AA" w:rsidRDefault="00EB55AA" w:rsidP="00EB55AA">
      <w:pPr>
        <w:pStyle w:val="NoSpacing"/>
      </w:pPr>
      <w:r>
        <w:t>Inkubationstid: 2-3 veckor.</w:t>
      </w:r>
    </w:p>
    <w:p w:rsidR="00EB55AA" w:rsidRPr="00F02EC0" w:rsidRDefault="00EB55AA" w:rsidP="00EB55AA">
      <w:pPr>
        <w:pStyle w:val="NoSpacing"/>
      </w:pPr>
      <w:r>
        <w:t xml:space="preserve">Symtom: feber, tonsillit, lymfkörtelförstoring, </w:t>
      </w:r>
      <w:proofErr w:type="spellStart"/>
      <w:r>
        <w:t>exantem</w:t>
      </w:r>
      <w:proofErr w:type="spellEnd"/>
      <w:r>
        <w:t>.</w:t>
      </w:r>
    </w:p>
    <w:p w:rsidR="00EB55AA" w:rsidRDefault="00EB55AA" w:rsidP="00A9147D">
      <w:pPr>
        <w:pStyle w:val="NoSpacing"/>
      </w:pPr>
    </w:p>
    <w:p w:rsidR="00A9147D" w:rsidRDefault="00A9147D" w:rsidP="00A9147D">
      <w:pPr>
        <w:pStyle w:val="Heading3"/>
      </w:pPr>
      <w:r>
        <w:t>Profylax</w:t>
      </w:r>
    </w:p>
    <w:p w:rsidR="00A9147D" w:rsidRDefault="00A9147D" w:rsidP="00A9147D">
      <w:pPr>
        <w:pStyle w:val="NoSpacing"/>
      </w:pPr>
      <w:r>
        <w:t>Vid graviditet erbjuds följande profylaktiska åtgärder:</w:t>
      </w:r>
    </w:p>
    <w:p w:rsidR="00A9147D" w:rsidRPr="00A9147D" w:rsidRDefault="00A9147D" w:rsidP="00A9147D">
      <w:pPr>
        <w:pStyle w:val="NoSpacing"/>
      </w:pPr>
      <w:r>
        <w:t xml:space="preserve">antiviralbehandling av mamman, därefter barnet under de första fyra levnadsveckorna, </w:t>
      </w:r>
      <w:proofErr w:type="spellStart"/>
      <w:r>
        <w:t>elektivt</w:t>
      </w:r>
      <w:proofErr w:type="spellEnd"/>
      <w:r>
        <w:t xml:space="preserve"> kejsarsnitt, avstående från amning.</w:t>
      </w:r>
    </w:p>
    <w:p w:rsidR="00A9147D" w:rsidRDefault="00A9147D" w:rsidP="00A9147D">
      <w:pPr>
        <w:pStyle w:val="NoSpacing"/>
      </w:pPr>
    </w:p>
    <w:p w:rsidR="00BD16F5" w:rsidRDefault="00BD16F5" w:rsidP="00BD16F5">
      <w:pPr>
        <w:pStyle w:val="Heading3"/>
      </w:pPr>
      <w:r>
        <w:t>Smittskydd</w:t>
      </w:r>
    </w:p>
    <w:p w:rsidR="006927CB" w:rsidRDefault="006927CB" w:rsidP="00BD16F5">
      <w:pPr>
        <w:pStyle w:val="NoSpacing"/>
      </w:pPr>
      <w:r>
        <w:t>Anmälan, smittspårning, smittskyddsinfo = nedan:</w:t>
      </w:r>
    </w:p>
    <w:p w:rsidR="00BD16F5" w:rsidRDefault="00BD16F5" w:rsidP="00BD16F5">
      <w:pPr>
        <w:pStyle w:val="NoSpacing"/>
      </w:pPr>
      <w:proofErr w:type="spellStart"/>
      <w:r>
        <w:t>HIV-positiv</w:t>
      </w:r>
      <w:proofErr w:type="spellEnd"/>
      <w:r>
        <w:t xml:space="preserve"> patient måste informera </w:t>
      </w:r>
      <w:r w:rsidRPr="00BD16F5">
        <w:t>sexpartners och sjukvårdskontakter om si</w:t>
      </w:r>
      <w:r>
        <w:t>tt HIV-bärarskap.</w:t>
      </w:r>
    </w:p>
    <w:p w:rsidR="00BD16F5" w:rsidRDefault="00BD16F5" w:rsidP="00BD16F5">
      <w:pPr>
        <w:pStyle w:val="NoSpacing"/>
      </w:pPr>
      <w:r>
        <w:t>Säker sex</w:t>
      </w:r>
      <w:r w:rsidRPr="00BD16F5">
        <w:t>.</w:t>
      </w:r>
    </w:p>
    <w:p w:rsidR="00BD16F5" w:rsidRDefault="00BD16F5" w:rsidP="00BD16F5">
      <w:pPr>
        <w:pStyle w:val="NoSpacing"/>
      </w:pPr>
      <w:r>
        <w:t>F</w:t>
      </w:r>
      <w:r w:rsidRPr="00BD16F5">
        <w:t xml:space="preserve">år </w:t>
      </w:r>
      <w:proofErr w:type="gramStart"/>
      <w:r w:rsidRPr="00BD16F5">
        <w:t>ej</w:t>
      </w:r>
      <w:proofErr w:type="gramEnd"/>
      <w:r w:rsidRPr="00BD16F5">
        <w:t xml:space="preserve"> donera blod eller organ</w:t>
      </w:r>
      <w:r>
        <w:t>.</w:t>
      </w:r>
    </w:p>
    <w:p w:rsidR="00BD16F5" w:rsidRDefault="00BD16F5" w:rsidP="00BD16F5">
      <w:pPr>
        <w:pStyle w:val="NoSpacing"/>
      </w:pPr>
      <w:r w:rsidRPr="00BD16F5">
        <w:t>Skyldig att komma på läkarbesök</w:t>
      </w:r>
      <w:r>
        <w:t>.</w:t>
      </w:r>
    </w:p>
    <w:p w:rsidR="00193C7B" w:rsidRDefault="00BD16F5" w:rsidP="00BD16F5">
      <w:pPr>
        <w:pStyle w:val="NoSpacing"/>
      </w:pPr>
      <w:proofErr w:type="gramStart"/>
      <w:r>
        <w:t>Ej</w:t>
      </w:r>
      <w:proofErr w:type="gramEnd"/>
      <w:r>
        <w:t xml:space="preserve"> dela sprutor</w:t>
      </w:r>
      <w:r w:rsidRPr="00BD16F5">
        <w:t>.</w:t>
      </w:r>
    </w:p>
    <w:p w:rsidR="00193C7B" w:rsidRPr="00BD16F5" w:rsidRDefault="00193C7B" w:rsidP="00BD16F5">
      <w:pPr>
        <w:pStyle w:val="NoSpacing"/>
      </w:pPr>
    </w:p>
    <w:p w:rsidR="00EB55AA" w:rsidRDefault="00EB55AA" w:rsidP="00EB55AA">
      <w:pPr>
        <w:pStyle w:val="Heading2"/>
      </w:pPr>
      <w:r>
        <w:t>Infektioner hos immundefekta</w:t>
      </w:r>
    </w:p>
    <w:p w:rsidR="00EB55AA" w:rsidRDefault="00EB55AA" w:rsidP="00EB55AA">
      <w:pPr>
        <w:pStyle w:val="Heading3"/>
      </w:pPr>
      <w:r>
        <w:t>Opportunistisk infektion</w:t>
      </w:r>
    </w:p>
    <w:p w:rsidR="00EB55AA" w:rsidRDefault="00EB55AA" w:rsidP="00EB55AA">
      <w:pPr>
        <w:pStyle w:val="NoSpacing"/>
      </w:pPr>
      <w:r>
        <w:t>Definition: i</w:t>
      </w:r>
      <w:r w:rsidRPr="00D6707D">
        <w:t>nfektion som endast drabbar patienter med nedsatt immunförsvar (annars kolonisatör)</w:t>
      </w:r>
      <w:r>
        <w:t xml:space="preserve"> ALTERNATIVT infektion av mi</w:t>
      </w:r>
      <w:r w:rsidR="009E66CE">
        <w:t xml:space="preserve">krober med ringa </w:t>
      </w:r>
      <w:proofErr w:type="spellStart"/>
      <w:r w:rsidR="009E66CE">
        <w:t>patogenicitet</w:t>
      </w:r>
      <w:proofErr w:type="spellEnd"/>
      <w:r w:rsidR="009E66CE">
        <w:t>.</w:t>
      </w:r>
    </w:p>
    <w:p w:rsidR="009E66CE" w:rsidRDefault="009E66CE" w:rsidP="00EB55AA">
      <w:pPr>
        <w:pStyle w:val="NoSpacing"/>
      </w:pPr>
      <w:r>
        <w:t>Opportunistiska infektioner som kan uppträda vid låga CD4-nivåer:</w:t>
      </w:r>
    </w:p>
    <w:p w:rsidR="009E66CE" w:rsidRPr="009E66CE" w:rsidRDefault="009E66CE" w:rsidP="00EB55AA">
      <w:pPr>
        <w:pStyle w:val="NoSpacing"/>
        <w:rPr>
          <w:lang w:val="en-US"/>
        </w:rPr>
      </w:pPr>
      <w:r w:rsidRPr="009E66CE">
        <w:rPr>
          <w:lang w:val="en-US"/>
        </w:rPr>
        <w:t xml:space="preserve">PCP, </w:t>
      </w:r>
      <w:proofErr w:type="spellStart"/>
      <w:r w:rsidRPr="009E66CE">
        <w:rPr>
          <w:lang w:val="en-US"/>
        </w:rPr>
        <w:t>toxoplasmos</w:t>
      </w:r>
      <w:proofErr w:type="spellEnd"/>
      <w:r w:rsidRPr="009E66CE">
        <w:rPr>
          <w:lang w:val="en-US"/>
        </w:rPr>
        <w:t xml:space="preserve">, </w:t>
      </w:r>
      <w:proofErr w:type="spellStart"/>
      <w:r w:rsidRPr="009E66CE">
        <w:rPr>
          <w:lang w:val="en-US"/>
        </w:rPr>
        <w:t>cryptococcos</w:t>
      </w:r>
      <w:proofErr w:type="spellEnd"/>
      <w:r w:rsidRPr="009E66CE">
        <w:rPr>
          <w:lang w:val="en-US"/>
        </w:rPr>
        <w:t xml:space="preserve">, </w:t>
      </w:r>
      <w:proofErr w:type="spellStart"/>
      <w:r w:rsidRPr="009E66CE">
        <w:rPr>
          <w:lang w:val="en-US"/>
        </w:rPr>
        <w:t>esofagal</w:t>
      </w:r>
      <w:proofErr w:type="spellEnd"/>
      <w:r w:rsidRPr="009E66CE">
        <w:rPr>
          <w:lang w:val="en-US"/>
        </w:rPr>
        <w:t xml:space="preserve"> candida, PML, </w:t>
      </w:r>
    </w:p>
    <w:p w:rsidR="009E66CE" w:rsidRPr="009E66CE" w:rsidRDefault="009E66CE" w:rsidP="00EB55AA">
      <w:pPr>
        <w:pStyle w:val="NoSpacing"/>
        <w:rPr>
          <w:lang w:val="en-US"/>
        </w:rPr>
      </w:pPr>
    </w:p>
    <w:p w:rsidR="00EB55AA" w:rsidRDefault="00EB55AA" w:rsidP="00EB55AA">
      <w:pPr>
        <w:pStyle w:val="Heading3"/>
      </w:pPr>
      <w:proofErr w:type="spellStart"/>
      <w:r>
        <w:t>Pneumocystis</w:t>
      </w:r>
      <w:proofErr w:type="spellEnd"/>
      <w:r>
        <w:t xml:space="preserve"> </w:t>
      </w:r>
      <w:proofErr w:type="spellStart"/>
      <w:r>
        <w:t>jaroveci</w:t>
      </w:r>
      <w:proofErr w:type="spellEnd"/>
      <w:r>
        <w:t xml:space="preserve"> pneumoni (PCP)</w:t>
      </w:r>
    </w:p>
    <w:p w:rsidR="00EB55AA" w:rsidRDefault="00EB55AA" w:rsidP="00EB55AA">
      <w:pPr>
        <w:pStyle w:val="NoSpacing"/>
      </w:pPr>
      <w:r>
        <w:t>Svampinfektion. Hos HIV-patienter utan profylax och vars CD4&lt;200.</w:t>
      </w:r>
    </w:p>
    <w:p w:rsidR="00EB55AA" w:rsidRDefault="00EB55AA" w:rsidP="00EB55AA">
      <w:pPr>
        <w:pStyle w:val="NoSpacing"/>
      </w:pPr>
      <w:r>
        <w:t xml:space="preserve">Symtom: </w:t>
      </w:r>
      <w:r w:rsidRPr="00570A84">
        <w:t>långsamt</w:t>
      </w:r>
      <w:r>
        <w:t xml:space="preserve"> </w:t>
      </w:r>
      <w:proofErr w:type="spellStart"/>
      <w:r w:rsidRPr="00570A84">
        <w:t>progredierande</w:t>
      </w:r>
      <w:proofErr w:type="spellEnd"/>
      <w:r w:rsidRPr="00570A84">
        <w:t xml:space="preserve"> förlopp med feber, </w:t>
      </w:r>
      <w:proofErr w:type="spellStart"/>
      <w:r>
        <w:t>dyspné</w:t>
      </w:r>
      <w:proofErr w:type="spellEnd"/>
      <w:r>
        <w:t>, viktnedgång, hosta, trötthet.</w:t>
      </w:r>
    </w:p>
    <w:p w:rsidR="00EB55AA" w:rsidRPr="00570A84" w:rsidRDefault="00EB55AA" w:rsidP="00EB55AA">
      <w:pPr>
        <w:pStyle w:val="NoSpacing"/>
      </w:pPr>
      <w:r>
        <w:t xml:space="preserve">[Undersökning: </w:t>
      </w:r>
      <w:proofErr w:type="spellStart"/>
      <w:r>
        <w:t>lugnrtg</w:t>
      </w:r>
      <w:proofErr w:type="spellEnd"/>
      <w:r>
        <w:t xml:space="preserve"> visar bilaterala infiltrat.]</w:t>
      </w:r>
    </w:p>
    <w:p w:rsidR="00EB55AA" w:rsidRDefault="00EB55AA" w:rsidP="00EB55AA">
      <w:pPr>
        <w:pStyle w:val="NoSpacing"/>
      </w:pPr>
      <w:r>
        <w:t xml:space="preserve">Diagnos: [cystor ska påvisas </w:t>
      </w:r>
      <w:proofErr w:type="spellStart"/>
      <w:r>
        <w:t>mha</w:t>
      </w:r>
      <w:proofErr w:type="spellEnd"/>
      <w:r>
        <w:t xml:space="preserve"> färgning av] luftvägssekretsprov, </w:t>
      </w:r>
      <w:proofErr w:type="spellStart"/>
      <w:r>
        <w:t>bronkoalveolärt</w:t>
      </w:r>
      <w:proofErr w:type="spellEnd"/>
      <w:r>
        <w:t xml:space="preserve"> </w:t>
      </w:r>
      <w:proofErr w:type="spellStart"/>
      <w:r>
        <w:t>lavage</w:t>
      </w:r>
      <w:proofErr w:type="spellEnd"/>
      <w:r>
        <w:t>.</w:t>
      </w:r>
    </w:p>
    <w:p w:rsidR="00EB55AA" w:rsidRPr="0070720A" w:rsidRDefault="00EB55AA" w:rsidP="00EB55AA">
      <w:pPr>
        <w:pStyle w:val="NoSpacing"/>
      </w:pPr>
      <w:r>
        <w:t xml:space="preserve">Behandling: Trim-sulfa = </w:t>
      </w:r>
      <w:proofErr w:type="spellStart"/>
      <w:r>
        <w:t>trimetoprim</w:t>
      </w:r>
      <w:proofErr w:type="spellEnd"/>
      <w:r>
        <w:t xml:space="preserve"> + </w:t>
      </w:r>
      <w:proofErr w:type="spellStart"/>
      <w:r>
        <w:t>sulfametoxazol</w:t>
      </w:r>
      <w:proofErr w:type="spellEnd"/>
      <w:r>
        <w:t xml:space="preserve"> = </w:t>
      </w:r>
      <w:proofErr w:type="spellStart"/>
      <w:r w:rsidRPr="002B39E7">
        <w:rPr>
          <w:b/>
        </w:rPr>
        <w:t>bactrim</w:t>
      </w:r>
      <w:proofErr w:type="spellEnd"/>
      <w:r w:rsidR="0070720A">
        <w:rPr>
          <w:b/>
        </w:rPr>
        <w:t xml:space="preserve"> </w:t>
      </w:r>
      <w:r w:rsidR="0070720A">
        <w:t>+ ev. steroider</w:t>
      </w:r>
    </w:p>
    <w:p w:rsidR="00EB55AA" w:rsidRDefault="00EB55AA" w:rsidP="00EB55AA">
      <w:pPr>
        <w:pStyle w:val="NoSpacing"/>
      </w:pPr>
    </w:p>
    <w:p w:rsidR="00EB55AA" w:rsidRDefault="00EB55AA" w:rsidP="00EB55AA">
      <w:pPr>
        <w:pStyle w:val="Heading3"/>
      </w:pPr>
      <w:proofErr w:type="spellStart"/>
      <w:r>
        <w:t>Granulocytopeni</w:t>
      </w:r>
      <w:proofErr w:type="spellEnd"/>
    </w:p>
    <w:p w:rsidR="00EB55AA" w:rsidRDefault="00EB55AA" w:rsidP="00EB55AA">
      <w:pPr>
        <w:pStyle w:val="NoSpacing"/>
      </w:pPr>
      <w:r>
        <w:t>Orsaker: leukemi, cytostatikabehandling.</w:t>
      </w:r>
    </w:p>
    <w:p w:rsidR="00EB55AA" w:rsidRDefault="00EB55AA" w:rsidP="00EB55AA">
      <w:pPr>
        <w:pStyle w:val="NoSpacing"/>
      </w:pPr>
      <w:r>
        <w:t xml:space="preserve">Vid </w:t>
      </w:r>
      <w:proofErr w:type="spellStart"/>
      <w:r>
        <w:t>granulocytopeni</w:t>
      </w:r>
      <w:proofErr w:type="spellEnd"/>
      <w:r>
        <w:t>&lt;0,5 ökar infektionsrisken dramatiskt.</w:t>
      </w:r>
    </w:p>
    <w:p w:rsidR="00EB55AA" w:rsidRDefault="00EB55AA" w:rsidP="00EB55AA">
      <w:pPr>
        <w:pStyle w:val="NoSpacing"/>
      </w:pPr>
      <w:r>
        <w:t xml:space="preserve">Prover: B-celler. </w:t>
      </w:r>
    </w:p>
    <w:p w:rsidR="00EB55AA" w:rsidRPr="00A51D19" w:rsidRDefault="00EB55AA" w:rsidP="00EB55AA">
      <w:pPr>
        <w:pStyle w:val="Default"/>
        <w:rPr>
          <w:sz w:val="22"/>
        </w:rPr>
      </w:pPr>
      <w:r w:rsidRPr="00A51D19">
        <w:rPr>
          <w:sz w:val="22"/>
        </w:rPr>
        <w:t xml:space="preserve">Vid </w:t>
      </w:r>
      <w:proofErr w:type="spellStart"/>
      <w:r w:rsidRPr="00A51D19">
        <w:rPr>
          <w:sz w:val="22"/>
        </w:rPr>
        <w:t>neutropen</w:t>
      </w:r>
      <w:proofErr w:type="spellEnd"/>
      <w:r w:rsidRPr="00A51D19">
        <w:rPr>
          <w:sz w:val="22"/>
        </w:rPr>
        <w:t xml:space="preserve"> feber tas blod- och rundodling. </w:t>
      </w:r>
    </w:p>
    <w:p w:rsidR="00EB55AA" w:rsidRPr="00904A7E" w:rsidRDefault="00EB55AA" w:rsidP="00EB55AA">
      <w:pPr>
        <w:pStyle w:val="Default"/>
        <w:rPr>
          <w:rFonts w:ascii="Bookman Old Style" w:hAnsi="Bookman Old Style" w:cs="Bookman Old Style"/>
        </w:rPr>
      </w:pPr>
      <w:r w:rsidRPr="00A51D19">
        <w:rPr>
          <w:sz w:val="22"/>
        </w:rPr>
        <w:t>Behandling</w:t>
      </w:r>
      <w:r>
        <w:t>:</w:t>
      </w:r>
    </w:p>
    <w:p w:rsidR="00EB55AA" w:rsidRPr="00904A7E" w:rsidRDefault="00EB55AA" w:rsidP="00EB55AA">
      <w:pPr>
        <w:pStyle w:val="NoSpacing"/>
      </w:pPr>
      <w:proofErr w:type="spellStart"/>
      <w:r>
        <w:t>P</w:t>
      </w:r>
      <w:r w:rsidRPr="00904A7E">
        <w:t>iperacillin</w:t>
      </w:r>
      <w:proofErr w:type="spellEnd"/>
      <w:r w:rsidRPr="00904A7E">
        <w:t xml:space="preserve"> + </w:t>
      </w:r>
      <w:proofErr w:type="spellStart"/>
      <w:r w:rsidRPr="00904A7E">
        <w:t>tazobactam</w:t>
      </w:r>
      <w:proofErr w:type="spellEnd"/>
      <w:r w:rsidRPr="00904A7E">
        <w:t xml:space="preserve"> (</w:t>
      </w:r>
      <w:proofErr w:type="spellStart"/>
      <w:r w:rsidRPr="00904A7E">
        <w:t>Tazocin</w:t>
      </w:r>
      <w:proofErr w:type="spellEnd"/>
      <w:r w:rsidRPr="00904A7E">
        <w:t>)</w:t>
      </w:r>
      <w:r>
        <w:t xml:space="preserve"> </w:t>
      </w:r>
      <w:proofErr w:type="spellStart"/>
      <w:r>
        <w:t>i.v</w:t>
      </w:r>
      <w:proofErr w:type="spellEnd"/>
      <w:r>
        <w:t>.</w:t>
      </w:r>
      <w:r w:rsidRPr="00904A7E">
        <w:t xml:space="preserve"> </w:t>
      </w:r>
      <w:r>
        <w:t xml:space="preserve">om </w:t>
      </w:r>
      <w:r w:rsidRPr="00904A7E">
        <w:t>sår i munhålan, hudinf</w:t>
      </w:r>
      <w:r>
        <w:t>ektion eller luftvägssymtom.</w:t>
      </w:r>
    </w:p>
    <w:p w:rsidR="00EB55AA" w:rsidRPr="00904A7E" w:rsidRDefault="00EB55AA" w:rsidP="00EB55AA">
      <w:pPr>
        <w:pStyle w:val="NoSpacing"/>
      </w:pPr>
      <w:proofErr w:type="spellStart"/>
      <w:r>
        <w:t>Karpapenemer</w:t>
      </w:r>
      <w:proofErr w:type="spellEnd"/>
      <w:r w:rsidR="00D4265B">
        <w:t xml:space="preserve"> (</w:t>
      </w:r>
      <w:proofErr w:type="spellStart"/>
      <w:r w:rsidR="00D4265B">
        <w:t>meropenem</w:t>
      </w:r>
      <w:proofErr w:type="spellEnd"/>
      <w:r w:rsidR="00D4265B">
        <w:t>/</w:t>
      </w:r>
      <w:proofErr w:type="spellStart"/>
      <w:r w:rsidR="00D4265B">
        <w:t>imipenem</w:t>
      </w:r>
      <w:proofErr w:type="spellEnd"/>
      <w:r w:rsidR="00D4265B">
        <w:t>)</w:t>
      </w:r>
      <w:r>
        <w:t xml:space="preserve"> </w:t>
      </w:r>
      <w:proofErr w:type="spellStart"/>
      <w:r>
        <w:t>i.v</w:t>
      </w:r>
      <w:proofErr w:type="spellEnd"/>
      <w:r>
        <w:t xml:space="preserve">. om </w:t>
      </w:r>
      <w:r w:rsidRPr="00904A7E">
        <w:t>buksymto</w:t>
      </w:r>
      <w:r w:rsidR="00A71D04">
        <w:t>m eller svårt påverkad patient.</w:t>
      </w:r>
    </w:p>
    <w:p w:rsidR="00EB55AA" w:rsidRDefault="00EB55AA" w:rsidP="00EB55AA">
      <w:pPr>
        <w:pStyle w:val="NoSpacing"/>
      </w:pPr>
      <w:proofErr w:type="spellStart"/>
      <w:r>
        <w:t>Ceftazidim</w:t>
      </w:r>
      <w:proofErr w:type="spellEnd"/>
      <w:r>
        <w:t xml:space="preserve"> (Fortum) </w:t>
      </w:r>
      <w:proofErr w:type="spellStart"/>
      <w:r>
        <w:t>i.v</w:t>
      </w:r>
      <w:proofErr w:type="spellEnd"/>
      <w:r>
        <w:t xml:space="preserve">. om intet av ovanstående </w:t>
      </w:r>
      <w:r w:rsidRPr="00924818">
        <w:t>då risken för allvarliga bakteriella infektioner ök</w:t>
      </w:r>
      <w:r>
        <w:t xml:space="preserve">ar betydligt vid </w:t>
      </w:r>
      <w:proofErr w:type="spellStart"/>
      <w:r>
        <w:t>neutropeni</w:t>
      </w:r>
      <w:proofErr w:type="spellEnd"/>
      <w:r w:rsidRPr="00924818">
        <w:t xml:space="preserve"> och </w:t>
      </w:r>
      <w:proofErr w:type="spellStart"/>
      <w:r w:rsidRPr="00924818">
        <w:t>immunosuppression</w:t>
      </w:r>
      <w:proofErr w:type="spellEnd"/>
      <w:r w:rsidRPr="00924818">
        <w:t xml:space="preserve"> kan leda till att det inflammatoriska svaret fö</w:t>
      </w:r>
      <w:r>
        <w:t>rsvagas</w:t>
      </w:r>
      <w:r w:rsidRPr="00924818">
        <w:t xml:space="preserve"> och symtomen blir mildare.</w:t>
      </w:r>
    </w:p>
    <w:p w:rsidR="00EF0B61" w:rsidRDefault="00EF0B61" w:rsidP="00EB55AA">
      <w:pPr>
        <w:pStyle w:val="NoSpacing"/>
      </w:pPr>
    </w:p>
    <w:p w:rsidR="00EF0B61" w:rsidRDefault="00EF0B61" w:rsidP="00EF0B61">
      <w:pPr>
        <w:pStyle w:val="Heading3"/>
      </w:pPr>
      <w:proofErr w:type="spellStart"/>
      <w:r>
        <w:t>Hypogammaglobulinemi</w:t>
      </w:r>
      <w:proofErr w:type="spellEnd"/>
      <w:r w:rsidR="00C26DA1">
        <w:t>/</w:t>
      </w:r>
      <w:proofErr w:type="spellStart"/>
      <w:r w:rsidR="00C26DA1">
        <w:t>IgG</w:t>
      </w:r>
      <w:proofErr w:type="spellEnd"/>
      <w:r w:rsidR="00C26DA1">
        <w:t>-subklassbrist</w:t>
      </w:r>
    </w:p>
    <w:p w:rsidR="00EB55AA" w:rsidRDefault="00EF0B61" w:rsidP="00EF0B61">
      <w:pPr>
        <w:pStyle w:val="NoSpacing"/>
      </w:pPr>
      <w:r>
        <w:t>Symtom: upprepade sinusiter/pneumonier.</w:t>
      </w:r>
    </w:p>
    <w:p w:rsidR="00EF0B61" w:rsidRDefault="00EF0B61" w:rsidP="00EF0B61">
      <w:pPr>
        <w:pStyle w:val="NoSpacing"/>
      </w:pPr>
      <w:r>
        <w:t xml:space="preserve">Prover: </w:t>
      </w:r>
      <w:proofErr w:type="spellStart"/>
      <w:r>
        <w:t>Ig</w:t>
      </w:r>
      <w:proofErr w:type="spellEnd"/>
      <w:r>
        <w:t>-nivåer</w:t>
      </w:r>
      <w:r w:rsidR="004A685F">
        <w:t xml:space="preserve"> (</w:t>
      </w:r>
      <w:proofErr w:type="spellStart"/>
      <w:r w:rsidR="004A685F">
        <w:t>IgG</w:t>
      </w:r>
      <w:proofErr w:type="spellEnd"/>
      <w:r w:rsidR="004A685F">
        <w:t xml:space="preserve">, </w:t>
      </w:r>
      <w:proofErr w:type="spellStart"/>
      <w:r w:rsidR="004A685F">
        <w:t>IgA</w:t>
      </w:r>
      <w:proofErr w:type="spellEnd"/>
      <w:r w:rsidR="004A685F">
        <w:t xml:space="preserve">, </w:t>
      </w:r>
      <w:proofErr w:type="spellStart"/>
      <w:r w:rsidR="004A685F">
        <w:t>IgM</w:t>
      </w:r>
      <w:proofErr w:type="spellEnd"/>
      <w:r w:rsidR="004A685F">
        <w:t>) och</w:t>
      </w:r>
      <w:r>
        <w:t xml:space="preserve"> </w:t>
      </w:r>
      <w:r w:rsidR="00020DEA">
        <w:t>S-</w:t>
      </w:r>
      <w:proofErr w:type="spellStart"/>
      <w:r>
        <w:t>IgG</w:t>
      </w:r>
      <w:proofErr w:type="spellEnd"/>
      <w:r>
        <w:t>-subklasser.</w:t>
      </w:r>
    </w:p>
    <w:p w:rsidR="00C26DA1" w:rsidRDefault="00C26DA1" w:rsidP="00EF0B61">
      <w:pPr>
        <w:pStyle w:val="NoSpacing"/>
      </w:pPr>
      <w:r>
        <w:t>Behandling: substitution.</w:t>
      </w:r>
    </w:p>
    <w:p w:rsidR="000B4B58" w:rsidRPr="00EA6E22" w:rsidRDefault="000B4B58" w:rsidP="00EF0B61">
      <w:pPr>
        <w:pStyle w:val="NoSpacing"/>
      </w:pPr>
    </w:p>
    <w:p w:rsidR="00EB55AA" w:rsidRDefault="00EB55AA" w:rsidP="00EB55AA">
      <w:pPr>
        <w:pStyle w:val="Heading2"/>
      </w:pPr>
      <w:r>
        <w:t>Tuberkulos</w:t>
      </w:r>
    </w:p>
    <w:p w:rsidR="009E66CE" w:rsidRDefault="009E66CE" w:rsidP="009E66CE">
      <w:pPr>
        <w:pStyle w:val="NoSpacing"/>
      </w:pPr>
      <w:r>
        <w:t>Vid långdragen hosta misstänk alltid tbc och lungcancer.</w:t>
      </w:r>
    </w:p>
    <w:p w:rsidR="009E66CE" w:rsidRDefault="009E66CE" w:rsidP="009E66CE">
      <w:pPr>
        <w:pStyle w:val="NoSpacing"/>
      </w:pPr>
    </w:p>
    <w:p w:rsidR="00EB55AA" w:rsidRDefault="00EB55AA" w:rsidP="00EB55AA">
      <w:pPr>
        <w:pStyle w:val="Heading3"/>
      </w:pPr>
      <w:r>
        <w:t>Aktiv tuberkulos</w:t>
      </w:r>
    </w:p>
    <w:p w:rsidR="00824A5F" w:rsidRDefault="00824A5F" w:rsidP="00EB55AA">
      <w:pPr>
        <w:pStyle w:val="NoSpacing"/>
      </w:pPr>
      <w:r>
        <w:t xml:space="preserve">Symtom: långvarig </w:t>
      </w:r>
      <w:r w:rsidR="00D4265B">
        <w:t>produktiv hosta</w:t>
      </w:r>
      <w:r>
        <w:t xml:space="preserve"> (&gt;3 v), </w:t>
      </w:r>
      <w:proofErr w:type="spellStart"/>
      <w:r>
        <w:t>hemoptys</w:t>
      </w:r>
      <w:proofErr w:type="spellEnd"/>
      <w:r>
        <w:t>, subf</w:t>
      </w:r>
      <w:r w:rsidR="00F75F4C">
        <w:t>ebril, nattsvettning, avmagring.</w:t>
      </w:r>
    </w:p>
    <w:p w:rsidR="00824A5F" w:rsidRDefault="00EE38C0" w:rsidP="00EB55AA">
      <w:pPr>
        <w:pStyle w:val="NoSpacing"/>
      </w:pPr>
      <w:r>
        <w:t>Undersökning: lu</w:t>
      </w:r>
      <w:r w:rsidR="00824A5F">
        <w:t>n</w:t>
      </w:r>
      <w:r w:rsidR="004D2907">
        <w:t>g</w:t>
      </w:r>
      <w:r w:rsidR="00824A5F">
        <w:t>röntgen (</w:t>
      </w:r>
      <w:proofErr w:type="gramStart"/>
      <w:r w:rsidR="00F75F4C">
        <w:t>infiltrat</w:t>
      </w:r>
      <w:proofErr w:type="gramEnd"/>
      <w:r w:rsidR="00F75F4C">
        <w:t xml:space="preserve"> </w:t>
      </w:r>
      <w:proofErr w:type="spellStart"/>
      <w:r w:rsidR="00F75F4C">
        <w:t>ovanlob</w:t>
      </w:r>
      <w:proofErr w:type="spellEnd"/>
      <w:r w:rsidR="00F75F4C">
        <w:t>)</w:t>
      </w:r>
      <w:r w:rsidR="00571B04">
        <w:t xml:space="preserve"> [vid akutmottagningen]</w:t>
      </w:r>
    </w:p>
    <w:p w:rsidR="00EB55AA" w:rsidRDefault="00EB55AA" w:rsidP="00EB55AA">
      <w:pPr>
        <w:pStyle w:val="NoSpacing"/>
      </w:pPr>
      <w:r>
        <w:t xml:space="preserve">Omhändertagande: </w:t>
      </w:r>
      <w:r w:rsidR="007D1A12" w:rsidRPr="009E66CE">
        <w:rPr>
          <w:u w:val="single"/>
        </w:rPr>
        <w:t>Isolering</w:t>
      </w:r>
      <w:r w:rsidR="007D1A12">
        <w:t xml:space="preserve"> i e</w:t>
      </w:r>
      <w:r w:rsidR="00F75F4C">
        <w:t>nkelrum med sluss,</w:t>
      </w:r>
      <w:r>
        <w:t xml:space="preserve"> andningsmask</w:t>
      </w:r>
      <w:r w:rsidR="00F75F4C">
        <w:t xml:space="preserve"> för personal</w:t>
      </w:r>
      <w:r>
        <w:t>.</w:t>
      </w:r>
    </w:p>
    <w:p w:rsidR="00F75F4C" w:rsidRDefault="00F75F4C" w:rsidP="00EB55AA">
      <w:pPr>
        <w:pStyle w:val="NoSpacing"/>
      </w:pPr>
      <w:r>
        <w:lastRenderedPageBreak/>
        <w:t>Behandling: 6 mån</w:t>
      </w:r>
      <w:r w:rsidR="009E66CE">
        <w:t xml:space="preserve"> med flera antibiotika för att undvika resistensutveckling och för att TBC är en långsamt växande bakterie (behöver därmed lång behandling för att avdöda alla bakterier/minska risken för recidiv).</w:t>
      </w:r>
    </w:p>
    <w:p w:rsidR="00F75F4C" w:rsidRDefault="00F75F4C" w:rsidP="00EB55AA">
      <w:pPr>
        <w:pStyle w:val="NoSpacing"/>
      </w:pPr>
      <w:r>
        <w:t xml:space="preserve">Smittskydd: </w:t>
      </w:r>
      <w:r w:rsidR="007D1A12">
        <w:t xml:space="preserve">Isolering, </w:t>
      </w:r>
      <w:r>
        <w:t>smittskyddsanmälan, smittspårning</w:t>
      </w:r>
      <w:r w:rsidR="0070720A">
        <w:t xml:space="preserve"> (personer med nära och långvarig kontakt med </w:t>
      </w:r>
      <w:proofErr w:type="spellStart"/>
      <w:r w:rsidR="0070720A">
        <w:t>pat</w:t>
      </w:r>
      <w:proofErr w:type="spellEnd"/>
      <w:r w:rsidR="0070720A">
        <w:t xml:space="preserve"> med aktiv TBC frågas efter symtom och </w:t>
      </w:r>
      <w:r w:rsidR="0058729F">
        <w:t>lungröntgen</w:t>
      </w:r>
      <w:r w:rsidR="0070720A">
        <w:t xml:space="preserve"> görs om symtom finns)</w:t>
      </w:r>
      <w:r>
        <w:t xml:space="preserve">. </w:t>
      </w:r>
      <w:r w:rsidR="00A71D04">
        <w:t>I</w:t>
      </w:r>
      <w:r>
        <w:t>nte smittsam efter två veckors behandling</w:t>
      </w:r>
      <w:r w:rsidR="00571B04">
        <w:t xml:space="preserve"> (motsvarar vårdtiden)</w:t>
      </w:r>
      <w:r>
        <w:t xml:space="preserve"> och klinisk regress.</w:t>
      </w:r>
    </w:p>
    <w:p w:rsidR="00F75F4C" w:rsidRDefault="00EB55AA" w:rsidP="00EB55AA">
      <w:pPr>
        <w:pStyle w:val="NoSpacing"/>
      </w:pPr>
      <w:r>
        <w:t xml:space="preserve">Diagnos: </w:t>
      </w:r>
    </w:p>
    <w:p w:rsidR="00F75F4C" w:rsidRDefault="00F75F4C" w:rsidP="00EB55AA">
      <w:pPr>
        <w:pStyle w:val="NoSpacing"/>
      </w:pPr>
      <w:proofErr w:type="spellStart"/>
      <w:r>
        <w:t>Sputumprov</w:t>
      </w:r>
      <w:proofErr w:type="spellEnd"/>
      <w:r>
        <w:t xml:space="preserve"> för TBC x 3 (om </w:t>
      </w:r>
      <w:proofErr w:type="gramStart"/>
      <w:r>
        <w:t>ej</w:t>
      </w:r>
      <w:proofErr w:type="gramEnd"/>
      <w:r>
        <w:t xml:space="preserve"> genomförbart så är ventrikelsköljning och bronkoskopi alternativ) </w:t>
      </w:r>
      <w:r w:rsidR="007D1A12">
        <w:t>syftar till:</w:t>
      </w:r>
    </w:p>
    <w:p w:rsidR="00F75F4C" w:rsidRDefault="007D1A12" w:rsidP="00EB55AA">
      <w:pPr>
        <w:pStyle w:val="NoSpacing"/>
      </w:pPr>
      <w:r>
        <w:t xml:space="preserve">1. </w:t>
      </w:r>
      <w:r w:rsidR="00D4265B">
        <w:t>O</w:t>
      </w:r>
      <w:r w:rsidR="00F75F4C">
        <w:t>dling (4-6 v)</w:t>
      </w:r>
      <w:r w:rsidR="00EB55AA">
        <w:t xml:space="preserve"> </w:t>
      </w:r>
      <w:r w:rsidR="00F75F4C">
        <w:t xml:space="preserve">+ hög sensitivitet, </w:t>
      </w:r>
      <w:proofErr w:type="spellStart"/>
      <w:r w:rsidR="00F75F4C">
        <w:t>referensmetod</w:t>
      </w:r>
      <w:proofErr w:type="spellEnd"/>
      <w:r w:rsidR="00F75F4C">
        <w:t>, resistensbestämning, - lång tid</w:t>
      </w:r>
    </w:p>
    <w:p w:rsidR="00F75F4C" w:rsidRDefault="007D1A12" w:rsidP="00EB55AA">
      <w:pPr>
        <w:pStyle w:val="NoSpacing"/>
      </w:pPr>
      <w:r>
        <w:t xml:space="preserve">2. </w:t>
      </w:r>
      <w:r w:rsidR="00D4265B">
        <w:t>D</w:t>
      </w:r>
      <w:r w:rsidR="00EB55AA">
        <w:t>irektmikroskopi</w:t>
      </w:r>
      <w:r w:rsidR="00F75F4C">
        <w:t xml:space="preserve"> + snabb metod, </w:t>
      </w:r>
      <w:r w:rsidR="00F75F4C" w:rsidRPr="007D1A12">
        <w:rPr>
          <w:b/>
        </w:rPr>
        <w:t>avgör smittsamheten</w:t>
      </w:r>
      <w:r w:rsidR="00F75F4C">
        <w:t>, - låg sensitivitet</w:t>
      </w:r>
    </w:p>
    <w:p w:rsidR="00EB55AA" w:rsidRDefault="007D1A12" w:rsidP="00EB55AA">
      <w:pPr>
        <w:pStyle w:val="NoSpacing"/>
      </w:pPr>
      <w:r>
        <w:t xml:space="preserve">3. </w:t>
      </w:r>
      <w:r w:rsidR="00EB55AA">
        <w:t>PCR (1-2 dygn)</w:t>
      </w:r>
      <w:r w:rsidR="00F75F4C">
        <w:t xml:space="preserve"> + snabb metod</w:t>
      </w:r>
    </w:p>
    <w:p w:rsidR="00EB55AA" w:rsidRPr="00653978" w:rsidRDefault="00EB55AA" w:rsidP="00EB55AA">
      <w:pPr>
        <w:pStyle w:val="NoSpacing"/>
      </w:pPr>
    </w:p>
    <w:p w:rsidR="00EB55AA" w:rsidRDefault="00EB55AA" w:rsidP="00EB55AA">
      <w:pPr>
        <w:pStyle w:val="Heading3"/>
      </w:pPr>
      <w:r>
        <w:t>Latent tuberkulos</w:t>
      </w:r>
    </w:p>
    <w:p w:rsidR="00EB55AA" w:rsidRDefault="00EB55AA" w:rsidP="00EB55AA">
      <w:pPr>
        <w:pStyle w:val="NoSpacing"/>
      </w:pPr>
      <w:r>
        <w:t xml:space="preserve">Symtom: </w:t>
      </w:r>
      <w:proofErr w:type="spellStart"/>
      <w:r>
        <w:t>ffa</w:t>
      </w:r>
      <w:proofErr w:type="spellEnd"/>
      <w:r>
        <w:t xml:space="preserve"> hos personer som vistas nära </w:t>
      </w:r>
      <w:proofErr w:type="spellStart"/>
      <w:r>
        <w:t>pat</w:t>
      </w:r>
      <w:proofErr w:type="spellEnd"/>
      <w:r>
        <w:t xml:space="preserve"> med aktiv TBC, eller som vistas längre tid i endemiskt område.</w:t>
      </w:r>
    </w:p>
    <w:p w:rsidR="000B4B58" w:rsidRDefault="0070720A" w:rsidP="00EB55AA">
      <w:pPr>
        <w:pStyle w:val="NoSpacing"/>
      </w:pPr>
      <w:r>
        <w:t xml:space="preserve">Personer som vistats nära </w:t>
      </w:r>
      <w:proofErr w:type="spellStart"/>
      <w:r>
        <w:t>pat</w:t>
      </w:r>
      <w:proofErr w:type="spellEnd"/>
      <w:r>
        <w:t xml:space="preserve"> med aktiv TBC frågas efter symtom. </w:t>
      </w:r>
      <w:r w:rsidR="00D53831">
        <w:t xml:space="preserve">Om symtom =&gt; lungröntgen. Om </w:t>
      </w:r>
      <w:proofErr w:type="gramStart"/>
      <w:r w:rsidR="00D53831">
        <w:t>ej</w:t>
      </w:r>
      <w:proofErr w:type="gramEnd"/>
      <w:r w:rsidR="00D53831">
        <w:t xml:space="preserve"> symtom =&gt; PPD.</w:t>
      </w:r>
    </w:p>
    <w:p w:rsidR="00EB55AA" w:rsidRDefault="00EB55AA" w:rsidP="00EB55AA">
      <w:pPr>
        <w:pStyle w:val="NoSpacing"/>
      </w:pPr>
      <w:r>
        <w:t>Diagnos: PPD, IGRA, frånvaro av tecken på aktiv TBC.</w:t>
      </w:r>
    </w:p>
    <w:p w:rsidR="00EB55AA" w:rsidRDefault="00EB55AA" w:rsidP="00EB55AA">
      <w:pPr>
        <w:pStyle w:val="NoSpacing"/>
      </w:pPr>
    </w:p>
    <w:p w:rsidR="00EB55AA" w:rsidRDefault="00EB55AA" w:rsidP="00EB55AA">
      <w:pPr>
        <w:pStyle w:val="Heading2"/>
      </w:pPr>
      <w:r>
        <w:t>Antimikrobiella medel</w:t>
      </w:r>
    </w:p>
    <w:p w:rsidR="00EB55AA" w:rsidRDefault="00EB55AA" w:rsidP="00EB55AA">
      <w:pPr>
        <w:pStyle w:val="NoSpacing"/>
      </w:pPr>
      <w:r>
        <w:t>Koncentrationen av antibiotika bör ligga över MIC länge (&gt;50% av tiden)</w:t>
      </w:r>
    </w:p>
    <w:p w:rsidR="00EB55AA" w:rsidRPr="00CD1A4A" w:rsidRDefault="00EB55AA" w:rsidP="00CD1A4A">
      <w:pPr>
        <w:pStyle w:val="NoSpacing"/>
      </w:pPr>
    </w:p>
    <w:p w:rsidR="00CD1A4A" w:rsidRPr="00CD1A4A" w:rsidRDefault="00CD1A4A" w:rsidP="00CD1A4A">
      <w:pPr>
        <w:pStyle w:val="NoSpacing"/>
      </w:pPr>
      <w:r w:rsidRPr="00CD1A4A">
        <w:t xml:space="preserve">För </w:t>
      </w:r>
      <w:proofErr w:type="spellStart"/>
      <w:r w:rsidRPr="00CD1A4A">
        <w:t>betalaktamantibiotika</w:t>
      </w:r>
      <w:proofErr w:type="spellEnd"/>
      <w:r w:rsidRPr="00CD1A4A">
        <w:t xml:space="preserve"> är det tiden ö</w:t>
      </w:r>
      <w:r>
        <w:t xml:space="preserve">ver MIC som har betydelse, </w:t>
      </w:r>
      <w:r w:rsidRPr="00CD1A4A">
        <w:t>för aminoglykosider toppkoncentrationen.</w:t>
      </w:r>
    </w:p>
    <w:p w:rsidR="00CD1A4A" w:rsidRDefault="00CD1A4A" w:rsidP="00EB55AA">
      <w:pPr>
        <w:pStyle w:val="NoSpacing"/>
      </w:pPr>
    </w:p>
    <w:p w:rsidR="00576C67" w:rsidRDefault="00576C67" w:rsidP="00576C67">
      <w:pPr>
        <w:pStyle w:val="Heading3"/>
      </w:pPr>
      <w:r>
        <w:t>Jästsvamp i blod</w:t>
      </w:r>
    </w:p>
    <w:p w:rsidR="00EB55AA" w:rsidRDefault="00576C67" w:rsidP="003F08A6">
      <w:pPr>
        <w:pStyle w:val="NoSpacing"/>
      </w:pPr>
      <w:r w:rsidRPr="00576C67">
        <w:t xml:space="preserve">Behandling: </w:t>
      </w:r>
      <w:proofErr w:type="spellStart"/>
      <w:r w:rsidRPr="00576C67">
        <w:t>flucona</w:t>
      </w:r>
      <w:r w:rsidR="003F08A6">
        <w:t>zol</w:t>
      </w:r>
      <w:proofErr w:type="spellEnd"/>
      <w:r w:rsidR="003F08A6">
        <w:t xml:space="preserve"> (</w:t>
      </w:r>
      <w:proofErr w:type="spellStart"/>
      <w:r w:rsidR="003F08A6">
        <w:t>Diflucan</w:t>
      </w:r>
      <w:proofErr w:type="spellEnd"/>
      <w:r w:rsidR="003F08A6">
        <w:t>),</w:t>
      </w:r>
      <w:r w:rsidR="00CD71EF">
        <w:t xml:space="preserve"> </w:t>
      </w:r>
      <w:r w:rsidR="003F08A6">
        <w:t xml:space="preserve">alt </w:t>
      </w:r>
      <w:proofErr w:type="spellStart"/>
      <w:r w:rsidR="003F08A6">
        <w:t>echinocandin</w:t>
      </w:r>
      <w:proofErr w:type="spellEnd"/>
    </w:p>
    <w:p w:rsidR="003F08A6" w:rsidRDefault="003F08A6" w:rsidP="003F08A6">
      <w:pPr>
        <w:pStyle w:val="NoSpacing"/>
      </w:pPr>
    </w:p>
    <w:p w:rsidR="00EA3197" w:rsidRDefault="00EA3197" w:rsidP="00EA3197">
      <w:pPr>
        <w:pStyle w:val="Heading3"/>
      </w:pPr>
      <w:r>
        <w:t>Antibiotika där serumkoncentrationen följs</w:t>
      </w:r>
    </w:p>
    <w:p w:rsidR="00EA3197" w:rsidRDefault="00EA3197" w:rsidP="00EA3197">
      <w:pPr>
        <w:pStyle w:val="NoSpacing"/>
      </w:pPr>
      <w:r>
        <w:t xml:space="preserve">Aminoglykosider och </w:t>
      </w:r>
      <w:proofErr w:type="spellStart"/>
      <w:r>
        <w:t>vancomicin</w:t>
      </w:r>
      <w:proofErr w:type="spellEnd"/>
      <w:r>
        <w:t>.</w:t>
      </w:r>
    </w:p>
    <w:p w:rsidR="00EA3197" w:rsidRPr="00EA3197" w:rsidRDefault="00EA3197" w:rsidP="00EA3197">
      <w:pPr>
        <w:pStyle w:val="NoSpacing"/>
      </w:pPr>
      <w:r>
        <w:t xml:space="preserve">Serumkoncentrationen följs </w:t>
      </w:r>
      <w:proofErr w:type="spellStart"/>
      <w:r>
        <w:t>pga</w:t>
      </w:r>
      <w:proofErr w:type="spellEnd"/>
      <w:r>
        <w:t xml:space="preserve"> smalt terapeutiskt intervall, allvarliga biverkningar och njurfunktionsberoende eliminering.</w:t>
      </w:r>
    </w:p>
    <w:p w:rsidR="00EA3197" w:rsidRDefault="00EA3197" w:rsidP="00EB55AA">
      <w:pPr>
        <w:pStyle w:val="NoSpacing"/>
      </w:pPr>
    </w:p>
    <w:p w:rsidR="00EB55AA" w:rsidRDefault="00EB55AA" w:rsidP="00EB55AA">
      <w:pPr>
        <w:pStyle w:val="Heading3"/>
      </w:pPr>
      <w:r>
        <w:t>ESBL</w:t>
      </w:r>
    </w:p>
    <w:p w:rsidR="00EB55AA" w:rsidRDefault="00EB55AA" w:rsidP="00EB55AA">
      <w:pPr>
        <w:pStyle w:val="NoSpacing"/>
      </w:pPr>
      <w:proofErr w:type="spellStart"/>
      <w:r>
        <w:t>Extended</w:t>
      </w:r>
      <w:proofErr w:type="spellEnd"/>
      <w:r>
        <w:t xml:space="preserve"> spektrum beta-</w:t>
      </w:r>
      <w:proofErr w:type="spellStart"/>
      <w:r>
        <w:t>laktamases</w:t>
      </w:r>
      <w:proofErr w:type="spellEnd"/>
      <w:r>
        <w:t>.</w:t>
      </w:r>
    </w:p>
    <w:p w:rsidR="00EB55AA" w:rsidRDefault="00EB55AA" w:rsidP="00EB55AA">
      <w:pPr>
        <w:pStyle w:val="NoSpacing"/>
      </w:pPr>
      <w:r>
        <w:t xml:space="preserve">ESBL-producerande bakterier: E. </w:t>
      </w:r>
      <w:proofErr w:type="spellStart"/>
      <w:r>
        <w:t>coli</w:t>
      </w:r>
      <w:proofErr w:type="spellEnd"/>
      <w:r>
        <w:t xml:space="preserve">, </w:t>
      </w:r>
      <w:proofErr w:type="spellStart"/>
      <w:r>
        <w:t>Klebsiella</w:t>
      </w:r>
      <w:proofErr w:type="spellEnd"/>
      <w:r>
        <w:t>.</w:t>
      </w:r>
    </w:p>
    <w:p w:rsidR="00EB55AA" w:rsidRDefault="00EB55AA" w:rsidP="00EB55AA">
      <w:pPr>
        <w:pStyle w:val="NoSpacing"/>
      </w:pPr>
      <w:r>
        <w:t xml:space="preserve">På ESBL fungerar alltid </w:t>
      </w:r>
      <w:proofErr w:type="spellStart"/>
      <w:r>
        <w:t>karbapenemer</w:t>
      </w:r>
      <w:proofErr w:type="spellEnd"/>
      <w:r>
        <w:t xml:space="preserve"> men </w:t>
      </w:r>
      <w:proofErr w:type="gramStart"/>
      <w:r>
        <w:t>ej</w:t>
      </w:r>
      <w:proofErr w:type="gramEnd"/>
      <w:r>
        <w:t xml:space="preserve"> vid ESBL-KARB.</w:t>
      </w:r>
    </w:p>
    <w:p w:rsidR="00EB55AA" w:rsidRPr="00412682" w:rsidRDefault="00EB55AA" w:rsidP="00EB55AA">
      <w:pPr>
        <w:pStyle w:val="NoSpacing"/>
      </w:pPr>
    </w:p>
    <w:p w:rsidR="00DB2C2E" w:rsidRDefault="00DB2C2E" w:rsidP="00DB2C2E">
      <w:pPr>
        <w:pStyle w:val="Heading2"/>
      </w:pPr>
      <w:r>
        <w:t>Bakteriologi</w:t>
      </w:r>
    </w:p>
    <w:p w:rsidR="00EA6E22" w:rsidRDefault="00D6707D" w:rsidP="00D6707D">
      <w:pPr>
        <w:pStyle w:val="Heading3"/>
      </w:pPr>
      <w:proofErr w:type="spellStart"/>
      <w:r>
        <w:t>Pseudomonas</w:t>
      </w:r>
      <w:proofErr w:type="spellEnd"/>
      <w:r>
        <w:t xml:space="preserve"> </w:t>
      </w:r>
      <w:proofErr w:type="spellStart"/>
      <w:r>
        <w:t>aeruginosa</w:t>
      </w:r>
      <w:proofErr w:type="spellEnd"/>
    </w:p>
    <w:p w:rsidR="00D6707D" w:rsidRPr="00D6707D" w:rsidRDefault="00D6707D" w:rsidP="00D6707D">
      <w:pPr>
        <w:pStyle w:val="NoSpacing"/>
      </w:pPr>
      <w:r>
        <w:t>Behand</w:t>
      </w:r>
      <w:r w:rsidR="0021070C">
        <w:t xml:space="preserve">ling: </w:t>
      </w:r>
      <w:proofErr w:type="spellStart"/>
      <w:r w:rsidR="0021070C">
        <w:t>ciprofloxacin</w:t>
      </w:r>
      <w:proofErr w:type="spellEnd"/>
      <w:r w:rsidR="0021070C">
        <w:t xml:space="preserve">, </w:t>
      </w:r>
      <w:proofErr w:type="spellStart"/>
      <w:r w:rsidR="0021070C">
        <w:t>ceftazidim</w:t>
      </w:r>
      <w:proofErr w:type="spellEnd"/>
      <w:r w:rsidR="0021070C">
        <w:t xml:space="preserve">, </w:t>
      </w:r>
      <w:proofErr w:type="spellStart"/>
      <w:r w:rsidR="0021070C">
        <w:t>impenem</w:t>
      </w:r>
      <w:proofErr w:type="spellEnd"/>
      <w:r w:rsidR="0021070C">
        <w:t>/</w:t>
      </w:r>
      <w:proofErr w:type="spellStart"/>
      <w:r w:rsidR="0021070C">
        <w:t>meropenem</w:t>
      </w:r>
      <w:proofErr w:type="spellEnd"/>
      <w:r w:rsidR="0021070C">
        <w:t xml:space="preserve">, </w:t>
      </w:r>
      <w:proofErr w:type="spellStart"/>
      <w:r w:rsidR="0021070C">
        <w:t>tazocin</w:t>
      </w:r>
      <w:proofErr w:type="spellEnd"/>
      <w:r w:rsidR="0021070C">
        <w:t xml:space="preserve">, </w:t>
      </w:r>
      <w:proofErr w:type="spellStart"/>
      <w:r w:rsidR="0021070C">
        <w:t>kinolon</w:t>
      </w:r>
      <w:proofErr w:type="spellEnd"/>
    </w:p>
    <w:p w:rsidR="00D6707D" w:rsidRDefault="00D6707D" w:rsidP="0002468B">
      <w:pPr>
        <w:pStyle w:val="NoSpacing"/>
      </w:pPr>
    </w:p>
    <w:p w:rsidR="00C5185C" w:rsidRDefault="00C5185C" w:rsidP="00C5185C">
      <w:pPr>
        <w:pStyle w:val="Heading3"/>
      </w:pPr>
      <w:proofErr w:type="spellStart"/>
      <w:r>
        <w:t>E.coli</w:t>
      </w:r>
      <w:proofErr w:type="spellEnd"/>
    </w:p>
    <w:p w:rsidR="00C5185C" w:rsidRPr="00C5185C" w:rsidRDefault="00C5185C" w:rsidP="00C5185C">
      <w:pPr>
        <w:pStyle w:val="NoSpacing"/>
      </w:pPr>
      <w:r>
        <w:t xml:space="preserve">20 procent av stammarna är resistenta mot </w:t>
      </w:r>
      <w:proofErr w:type="spellStart"/>
      <w:r>
        <w:t>trimetoprim</w:t>
      </w:r>
      <w:proofErr w:type="spellEnd"/>
      <w:r>
        <w:t>.</w:t>
      </w:r>
    </w:p>
    <w:p w:rsidR="00C5185C" w:rsidRDefault="00C5185C" w:rsidP="0002468B">
      <w:pPr>
        <w:pStyle w:val="NoSpacing"/>
      </w:pPr>
    </w:p>
    <w:p w:rsidR="0002468B" w:rsidRDefault="0002468B" w:rsidP="0002468B">
      <w:pPr>
        <w:pStyle w:val="Heading3"/>
      </w:pPr>
      <w:r>
        <w:t>Enterokocker</w:t>
      </w:r>
    </w:p>
    <w:p w:rsidR="0002468B" w:rsidRPr="0002468B" w:rsidRDefault="0002468B" w:rsidP="0002468B">
      <w:pPr>
        <w:pStyle w:val="NoSpacing"/>
      </w:pPr>
      <w:r>
        <w:t xml:space="preserve">Resistenta mot </w:t>
      </w:r>
      <w:proofErr w:type="spellStart"/>
      <w:r>
        <w:t>cefotaxim</w:t>
      </w:r>
      <w:proofErr w:type="spellEnd"/>
      <w:r>
        <w:t xml:space="preserve">, ALLTID! </w:t>
      </w:r>
    </w:p>
    <w:p w:rsidR="000D6348" w:rsidRPr="007F4D96" w:rsidRDefault="000D6348" w:rsidP="007F4D96">
      <w:pPr>
        <w:pStyle w:val="NoSpacing"/>
      </w:pPr>
    </w:p>
    <w:p w:rsidR="007F4D96" w:rsidRDefault="007F4D96" w:rsidP="007F4D96">
      <w:pPr>
        <w:pStyle w:val="Heading3"/>
      </w:pPr>
      <w:r>
        <w:lastRenderedPageBreak/>
        <w:t>Bakteriekällor</w:t>
      </w:r>
    </w:p>
    <w:p w:rsidR="007F4D96" w:rsidRDefault="007F4D96" w:rsidP="007F4D96">
      <w:pPr>
        <w:pStyle w:val="NoSpacing"/>
      </w:pPr>
      <w:r w:rsidRPr="007F4D96">
        <w:t xml:space="preserve">Alfastreptokocker och E. </w:t>
      </w:r>
      <w:proofErr w:type="spellStart"/>
      <w:r w:rsidRPr="007F4D96">
        <w:t>coli</w:t>
      </w:r>
      <w:proofErr w:type="spellEnd"/>
      <w:r w:rsidRPr="007F4D96">
        <w:t xml:space="preserve"> från slemhinnan i GI-kanalen</w:t>
      </w:r>
    </w:p>
    <w:p w:rsidR="007F4D96" w:rsidRPr="007F4D96" w:rsidRDefault="007F4D96" w:rsidP="007F4D96">
      <w:pPr>
        <w:pStyle w:val="NoSpacing"/>
      </w:pPr>
      <w:proofErr w:type="spellStart"/>
      <w:r>
        <w:t>Koagulasnegativa</w:t>
      </w:r>
      <w:proofErr w:type="spellEnd"/>
      <w:r>
        <w:t xml:space="preserve"> stafylokocker från venösa katetrar</w:t>
      </w:r>
      <w:r w:rsidRPr="007F4D96">
        <w:t xml:space="preserve"> (CVK, </w:t>
      </w:r>
      <w:proofErr w:type="spellStart"/>
      <w:r w:rsidRPr="007F4D96">
        <w:t>subcutan</w:t>
      </w:r>
      <w:proofErr w:type="spellEnd"/>
      <w:r w:rsidRPr="007F4D96">
        <w:t xml:space="preserve"> </w:t>
      </w:r>
      <w:proofErr w:type="spellStart"/>
      <w:r w:rsidRPr="007F4D96">
        <w:t>venport</w:t>
      </w:r>
      <w:proofErr w:type="spellEnd"/>
      <w:r w:rsidRPr="007F4D96">
        <w:t>)</w:t>
      </w:r>
    </w:p>
    <w:p w:rsidR="00C36AAC" w:rsidRPr="00C36AAC" w:rsidRDefault="00C36AAC" w:rsidP="00C36AAC">
      <w:pPr>
        <w:pStyle w:val="NoSpacing"/>
      </w:pPr>
    </w:p>
    <w:p w:rsidR="00DB2C2E" w:rsidRDefault="00DB2C2E" w:rsidP="00DB2C2E">
      <w:pPr>
        <w:pStyle w:val="Heading2"/>
      </w:pPr>
      <w:r>
        <w:t>Hud- och mjukdelsinfektioner</w:t>
      </w:r>
    </w:p>
    <w:p w:rsidR="004A685F" w:rsidRDefault="004A685F" w:rsidP="004A685F">
      <w:pPr>
        <w:pStyle w:val="NoSpacing"/>
      </w:pPr>
      <w:r>
        <w:t xml:space="preserve">Etiologi: S. </w:t>
      </w:r>
      <w:proofErr w:type="spellStart"/>
      <w:r>
        <w:t>aureus</w:t>
      </w:r>
      <w:proofErr w:type="spellEnd"/>
      <w:r>
        <w:t>, GAS</w:t>
      </w:r>
    </w:p>
    <w:p w:rsidR="004A685F" w:rsidRDefault="004A685F" w:rsidP="004A685F">
      <w:pPr>
        <w:pStyle w:val="NoSpacing"/>
      </w:pPr>
      <w:r>
        <w:t xml:space="preserve">Behandling: </w:t>
      </w:r>
      <w:proofErr w:type="spellStart"/>
      <w:r w:rsidR="0074377D">
        <w:t>H</w:t>
      </w:r>
      <w:bookmarkStart w:id="0" w:name="_GoBack"/>
      <w:bookmarkEnd w:id="0"/>
      <w:r w:rsidR="0074377D">
        <w:t>eracillin</w:t>
      </w:r>
      <w:proofErr w:type="spellEnd"/>
      <w:r>
        <w:t xml:space="preserve"> (</w:t>
      </w:r>
      <w:proofErr w:type="spellStart"/>
      <w:r>
        <w:t>klindamycin</w:t>
      </w:r>
      <w:proofErr w:type="spellEnd"/>
      <w:r>
        <w:t xml:space="preserve"> vid pc-allergi).</w:t>
      </w:r>
    </w:p>
    <w:p w:rsidR="004A685F" w:rsidRPr="004A685F" w:rsidRDefault="004A685F" w:rsidP="004A685F">
      <w:pPr>
        <w:pStyle w:val="NoSpacing"/>
      </w:pPr>
    </w:p>
    <w:p w:rsidR="00C9218D" w:rsidRDefault="00412682" w:rsidP="00C9218D">
      <w:pPr>
        <w:pStyle w:val="Heading3"/>
      </w:pPr>
      <w:r>
        <w:t>Katt- och hund</w:t>
      </w:r>
      <w:r w:rsidR="00C9218D">
        <w:t>bett</w:t>
      </w:r>
    </w:p>
    <w:p w:rsidR="00C9218D" w:rsidRPr="00412682" w:rsidRDefault="00C9218D" w:rsidP="00412682">
      <w:pPr>
        <w:pStyle w:val="NoSpacing"/>
      </w:pPr>
      <w:r w:rsidRPr="00412682">
        <w:t xml:space="preserve">Huvudpatogen: </w:t>
      </w:r>
      <w:proofErr w:type="spellStart"/>
      <w:r w:rsidRPr="00412682">
        <w:t>Pasteurella</w:t>
      </w:r>
      <w:proofErr w:type="spellEnd"/>
      <w:r w:rsidRPr="00412682">
        <w:t xml:space="preserve"> </w:t>
      </w:r>
      <w:proofErr w:type="spellStart"/>
      <w:r w:rsidRPr="00412682">
        <w:t>multocida</w:t>
      </w:r>
      <w:proofErr w:type="spellEnd"/>
    </w:p>
    <w:p w:rsidR="00C9218D" w:rsidRDefault="00412682" w:rsidP="00412682">
      <w:pPr>
        <w:pStyle w:val="NoSpacing"/>
      </w:pPr>
      <w:r w:rsidRPr="00412682">
        <w:t>Behandling:</w:t>
      </w:r>
      <w:r w:rsidR="0070720A">
        <w:t xml:space="preserve"> </w:t>
      </w:r>
      <w:proofErr w:type="spellStart"/>
      <w:r w:rsidR="0070720A" w:rsidRPr="00412682">
        <w:t>i.v</w:t>
      </w:r>
      <w:proofErr w:type="spellEnd"/>
      <w:r w:rsidR="0070720A">
        <w:t>.</w:t>
      </w:r>
      <w:r w:rsidRPr="00412682">
        <w:t xml:space="preserve"> </w:t>
      </w:r>
      <w:proofErr w:type="spellStart"/>
      <w:r>
        <w:t>PcG</w:t>
      </w:r>
      <w:proofErr w:type="spellEnd"/>
      <w:r w:rsidR="00576C67">
        <w:t xml:space="preserve"> alt </w:t>
      </w:r>
      <w:proofErr w:type="spellStart"/>
      <w:r w:rsidR="00576C67">
        <w:t>ampicillin</w:t>
      </w:r>
      <w:proofErr w:type="spellEnd"/>
      <w:r w:rsidR="00576C67">
        <w:t xml:space="preserve"> (</w:t>
      </w:r>
      <w:proofErr w:type="spellStart"/>
      <w:r w:rsidR="00576C67">
        <w:t>Doktacillin</w:t>
      </w:r>
      <w:proofErr w:type="spellEnd"/>
      <w:r w:rsidR="00576C67">
        <w:t xml:space="preserve">) alt </w:t>
      </w:r>
      <w:proofErr w:type="spellStart"/>
      <w:r w:rsidR="00576C67">
        <w:t>amoxicillin</w:t>
      </w:r>
      <w:proofErr w:type="spellEnd"/>
      <w:r w:rsidR="00576C67">
        <w:t xml:space="preserve"> alt </w:t>
      </w:r>
      <w:proofErr w:type="spellStart"/>
      <w:r w:rsidR="00576C67">
        <w:t>cefalosporin</w:t>
      </w:r>
      <w:proofErr w:type="spellEnd"/>
    </w:p>
    <w:p w:rsidR="00412682" w:rsidRDefault="00412682" w:rsidP="00412682">
      <w:pPr>
        <w:pStyle w:val="NoSpacing"/>
      </w:pPr>
      <w:r>
        <w:t xml:space="preserve">Vid bett med ledengagemang bör ortopedkonsult/handkirurg kontaktas </w:t>
      </w:r>
      <w:proofErr w:type="spellStart"/>
      <w:r>
        <w:t>pga</w:t>
      </w:r>
      <w:proofErr w:type="spellEnd"/>
      <w:r>
        <w:t xml:space="preserve"> risk för septisk artrit/</w:t>
      </w:r>
      <w:proofErr w:type="spellStart"/>
      <w:r>
        <w:t>purulent</w:t>
      </w:r>
      <w:proofErr w:type="spellEnd"/>
      <w:r>
        <w:t xml:space="preserve"> </w:t>
      </w:r>
      <w:proofErr w:type="spellStart"/>
      <w:r>
        <w:t>tenosynovit</w:t>
      </w:r>
      <w:proofErr w:type="spellEnd"/>
      <w:r w:rsidR="00576C67">
        <w:t xml:space="preserve"> (senskideinflammation)</w:t>
      </w:r>
      <w:r>
        <w:t xml:space="preserve">. Kan bli aktuellt med </w:t>
      </w:r>
      <w:proofErr w:type="spellStart"/>
      <w:r>
        <w:t>ledpunktion</w:t>
      </w:r>
      <w:proofErr w:type="spellEnd"/>
      <w:r>
        <w:t xml:space="preserve">/kirurgisk </w:t>
      </w:r>
      <w:proofErr w:type="spellStart"/>
      <w:r>
        <w:t>exploration</w:t>
      </w:r>
      <w:proofErr w:type="spellEnd"/>
      <w:r>
        <w:t>/dränage.</w:t>
      </w:r>
    </w:p>
    <w:p w:rsidR="00C9218D" w:rsidRDefault="00C9218D" w:rsidP="00C9218D">
      <w:pPr>
        <w:pStyle w:val="NoSpacing"/>
      </w:pPr>
    </w:p>
    <w:p w:rsidR="006D2A83" w:rsidRDefault="006D2A83" w:rsidP="006D2A83">
      <w:pPr>
        <w:pStyle w:val="Heading3"/>
      </w:pPr>
      <w:proofErr w:type="spellStart"/>
      <w:r>
        <w:t>Nekrotiserande</w:t>
      </w:r>
      <w:proofErr w:type="spellEnd"/>
      <w:r>
        <w:t xml:space="preserve"> </w:t>
      </w:r>
      <w:proofErr w:type="spellStart"/>
      <w:r>
        <w:t>fasciit</w:t>
      </w:r>
      <w:proofErr w:type="spellEnd"/>
    </w:p>
    <w:p w:rsidR="006D2A83" w:rsidRPr="00802EDC" w:rsidRDefault="00F10311" w:rsidP="00802EDC">
      <w:pPr>
        <w:pStyle w:val="NoSpacing"/>
      </w:pPr>
      <w:r>
        <w:t xml:space="preserve">Symtom: </w:t>
      </w:r>
      <w:r w:rsidRPr="000B4B58">
        <w:rPr>
          <w:b/>
        </w:rPr>
        <w:t xml:space="preserve">Svår, lokaliserad smärta men </w:t>
      </w:r>
      <w:proofErr w:type="gramStart"/>
      <w:r w:rsidRPr="000B4B58">
        <w:rPr>
          <w:b/>
        </w:rPr>
        <w:t>klent</w:t>
      </w:r>
      <w:proofErr w:type="gramEnd"/>
      <w:r w:rsidRPr="000B4B58">
        <w:rPr>
          <w:b/>
        </w:rPr>
        <w:t xml:space="preserve"> lokalstatus (”pain </w:t>
      </w:r>
      <w:proofErr w:type="spellStart"/>
      <w:r w:rsidRPr="000B4B58">
        <w:rPr>
          <w:b/>
        </w:rPr>
        <w:t>out</w:t>
      </w:r>
      <w:proofErr w:type="spellEnd"/>
      <w:r w:rsidRPr="000B4B58">
        <w:rPr>
          <w:b/>
        </w:rPr>
        <w:t xml:space="preserve"> </w:t>
      </w:r>
      <w:proofErr w:type="spellStart"/>
      <w:r w:rsidRPr="000B4B58">
        <w:rPr>
          <w:b/>
        </w:rPr>
        <w:t>of</w:t>
      </w:r>
      <w:proofErr w:type="spellEnd"/>
      <w:r w:rsidRPr="000B4B58">
        <w:rPr>
          <w:b/>
        </w:rPr>
        <w:t xml:space="preserve"> proportion”),</w:t>
      </w:r>
      <w:r w:rsidR="000B4B58" w:rsidRPr="000B4B58">
        <w:rPr>
          <w:b/>
        </w:rPr>
        <w:t xml:space="preserve"> hög feber, svår sepsis, kraftig AT-påverkan</w:t>
      </w:r>
      <w:r w:rsidR="000B4B58">
        <w:t>,</w:t>
      </w:r>
      <w:r>
        <w:t xml:space="preserve"> rodnat/blekt, missfärgat, svullet, diffus avgränsning</w:t>
      </w:r>
      <w:r w:rsidR="000B4B58">
        <w:t>, blåsor</w:t>
      </w:r>
      <w:r w:rsidRPr="00802EDC">
        <w:t>.</w:t>
      </w:r>
    </w:p>
    <w:p w:rsidR="00FD2953" w:rsidRDefault="00FD2953" w:rsidP="00802EDC">
      <w:pPr>
        <w:pStyle w:val="NoSpacing"/>
      </w:pPr>
      <w:r>
        <w:t>Diagnos: blododling, CT</w:t>
      </w:r>
    </w:p>
    <w:p w:rsidR="00802EDC" w:rsidRPr="00802EDC" w:rsidRDefault="00802EDC" w:rsidP="00802EDC">
      <w:pPr>
        <w:pStyle w:val="NoSpacing"/>
      </w:pPr>
      <w:r w:rsidRPr="00802EDC">
        <w:t xml:space="preserve">Behandling: </w:t>
      </w:r>
      <w:proofErr w:type="spellStart"/>
      <w:r w:rsidRPr="00802EDC">
        <w:t>Imipenem</w:t>
      </w:r>
      <w:r w:rsidR="00924818">
        <w:t>+klindamycin</w:t>
      </w:r>
      <w:proofErr w:type="spellEnd"/>
      <w:r w:rsidR="00924818">
        <w:t>, kurativ kirurgisk behandling.</w:t>
      </w:r>
    </w:p>
    <w:p w:rsidR="006D2A83" w:rsidRDefault="00FD2953" w:rsidP="00C9218D">
      <w:pPr>
        <w:pStyle w:val="NoSpacing"/>
      </w:pPr>
      <w:r>
        <w:t>Vårdnivå: IVA</w:t>
      </w:r>
    </w:p>
    <w:p w:rsidR="00FD2953" w:rsidRDefault="00FD2953" w:rsidP="00C9218D">
      <w:pPr>
        <w:pStyle w:val="NoSpacing"/>
      </w:pPr>
    </w:p>
    <w:p w:rsidR="00E809AD" w:rsidRDefault="00E809AD" w:rsidP="00E809AD">
      <w:pPr>
        <w:pStyle w:val="Heading3"/>
      </w:pPr>
      <w:proofErr w:type="spellStart"/>
      <w:r>
        <w:t>Erysipelas</w:t>
      </w:r>
      <w:proofErr w:type="spellEnd"/>
    </w:p>
    <w:p w:rsidR="001074FD" w:rsidRPr="00A71D04" w:rsidRDefault="001074FD" w:rsidP="00576C67">
      <w:pPr>
        <w:pStyle w:val="NoSpacing"/>
      </w:pPr>
      <w:r>
        <w:t>Etiologi: G</w:t>
      </w:r>
      <w:r w:rsidR="005519A4">
        <w:t>AS</w:t>
      </w:r>
      <w:r>
        <w:t xml:space="preserve">/S. </w:t>
      </w:r>
      <w:proofErr w:type="spellStart"/>
      <w:r>
        <w:t>pyogenes</w:t>
      </w:r>
      <w:proofErr w:type="spellEnd"/>
      <w:r>
        <w:t xml:space="preserve"> (troligast)</w:t>
      </w:r>
    </w:p>
    <w:p w:rsidR="00E809AD" w:rsidRDefault="00E809AD" w:rsidP="00E809AD">
      <w:pPr>
        <w:pStyle w:val="NoSpacing"/>
      </w:pPr>
      <w:r>
        <w:t xml:space="preserve">Predisponerande faktorer: lokalt ödem (venös </w:t>
      </w:r>
      <w:proofErr w:type="spellStart"/>
      <w:r>
        <w:t>insuff</w:t>
      </w:r>
      <w:proofErr w:type="spellEnd"/>
      <w:r>
        <w:t>, lymfödem), hudskada (bensår, eksem), DM, alkoholism.</w:t>
      </w:r>
    </w:p>
    <w:p w:rsidR="00E809AD" w:rsidRDefault="00E809AD" w:rsidP="00E809AD">
      <w:pPr>
        <w:pStyle w:val="NoSpacing"/>
      </w:pPr>
      <w:r>
        <w:t>Symtom: akut insättande feber, frossa, illamående, kräkningar, AT-påverkan, lokal smärta</w:t>
      </w:r>
    </w:p>
    <w:p w:rsidR="00E809AD" w:rsidRDefault="00E809AD" w:rsidP="00E809AD">
      <w:pPr>
        <w:pStyle w:val="NoSpacing"/>
      </w:pPr>
      <w:r>
        <w:t>Klinik: skarpt avgränsad ytlig infektion med intensiv rodnad som sprider sig successivt, ömhet, svullnad, värmeökning, inte sällan blåsbildning, abscessbildning kan förekomma</w:t>
      </w:r>
      <w:r w:rsidR="007A51DC">
        <w:t>.</w:t>
      </w:r>
    </w:p>
    <w:p w:rsidR="007A51DC" w:rsidRPr="00E809AD" w:rsidRDefault="007A51DC" w:rsidP="00E809AD">
      <w:pPr>
        <w:pStyle w:val="NoSpacing"/>
      </w:pPr>
      <w:r>
        <w:t xml:space="preserve">Behandling: </w:t>
      </w:r>
      <w:proofErr w:type="spellStart"/>
      <w:r>
        <w:t>PcG</w:t>
      </w:r>
      <w:proofErr w:type="spellEnd"/>
      <w:r>
        <w:t xml:space="preserve"> </w:t>
      </w:r>
      <w:proofErr w:type="spellStart"/>
      <w:r>
        <w:t>i.v</w:t>
      </w:r>
      <w:proofErr w:type="spellEnd"/>
      <w:r>
        <w:t xml:space="preserve">. vid hemodynamisk/AT-påverkan. </w:t>
      </w:r>
      <w:proofErr w:type="spellStart"/>
      <w:r>
        <w:t>PcV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annars.</w:t>
      </w:r>
    </w:p>
    <w:p w:rsidR="00A71D04" w:rsidRPr="00C9218D" w:rsidRDefault="00A71D04" w:rsidP="00C9218D">
      <w:pPr>
        <w:pStyle w:val="NoSpacing"/>
      </w:pPr>
    </w:p>
    <w:p w:rsidR="00DB2C2E" w:rsidRDefault="00DB2C2E" w:rsidP="00DB2C2E">
      <w:pPr>
        <w:pStyle w:val="Heading2"/>
      </w:pPr>
      <w:r>
        <w:t>Ortopediska infektioner</w:t>
      </w:r>
    </w:p>
    <w:p w:rsidR="00CF59DD" w:rsidRDefault="00536450" w:rsidP="00536450">
      <w:pPr>
        <w:pStyle w:val="Heading3"/>
      </w:pPr>
      <w:r>
        <w:t>Septisk artrit</w:t>
      </w:r>
    </w:p>
    <w:p w:rsidR="00AB577C" w:rsidRDefault="00AB577C" w:rsidP="002B56CF">
      <w:pPr>
        <w:pStyle w:val="NoSpacing"/>
      </w:pPr>
      <w:r>
        <w:t xml:space="preserve">Etiologi: </w:t>
      </w:r>
      <w:proofErr w:type="spellStart"/>
      <w:r>
        <w:t>s.aureus</w:t>
      </w:r>
      <w:proofErr w:type="spellEnd"/>
    </w:p>
    <w:p w:rsidR="002B56CF" w:rsidRDefault="002B56CF" w:rsidP="002B56CF">
      <w:pPr>
        <w:pStyle w:val="NoSpacing"/>
      </w:pPr>
      <w:r>
        <w:t xml:space="preserve">Symtom: </w:t>
      </w:r>
      <w:proofErr w:type="gramStart"/>
      <w:r>
        <w:t>ilsket</w:t>
      </w:r>
      <w:proofErr w:type="gramEnd"/>
      <w:r>
        <w:t xml:space="preserve"> lokalstatus (ledsvullnad, smärta, rörelseinskränkning), hög feber, allmänpåverkan</w:t>
      </w:r>
    </w:p>
    <w:p w:rsidR="002B56CF" w:rsidRDefault="002B56CF" w:rsidP="002B56CF">
      <w:pPr>
        <w:pStyle w:val="NoSpacing"/>
      </w:pPr>
      <w:r>
        <w:t>Prover: SR, CRP, LPK</w:t>
      </w:r>
    </w:p>
    <w:p w:rsidR="002B56CF" w:rsidRDefault="00AB577C" w:rsidP="0092230E">
      <w:pPr>
        <w:pStyle w:val="NoSpacing"/>
      </w:pPr>
      <w:r>
        <w:t xml:space="preserve">Undersökning: </w:t>
      </w:r>
      <w:proofErr w:type="spellStart"/>
      <w:r>
        <w:t>ledpunktion</w:t>
      </w:r>
      <w:proofErr w:type="spellEnd"/>
      <w:r>
        <w:t xml:space="preserve"> (Syn-LPK, Syn-glukos, Syn-laktat, odling, mikroskopi för kristaller och</w:t>
      </w:r>
      <w:r w:rsidR="004C42FC">
        <w:t xml:space="preserve"> celler och bakteriefärgning)</w:t>
      </w:r>
    </w:p>
    <w:p w:rsidR="00536450" w:rsidRPr="00536450" w:rsidRDefault="002B56CF" w:rsidP="0092230E">
      <w:pPr>
        <w:pStyle w:val="NoSpacing"/>
      </w:pPr>
      <w:r>
        <w:t xml:space="preserve">Behandling: </w:t>
      </w:r>
      <w:proofErr w:type="spellStart"/>
      <w:r>
        <w:t>cefalosporin</w:t>
      </w:r>
      <w:proofErr w:type="spellEnd"/>
      <w:r>
        <w:t xml:space="preserve"> alt </w:t>
      </w:r>
      <w:proofErr w:type="spellStart"/>
      <w:r>
        <w:t>kloxaxcillin</w:t>
      </w:r>
      <w:proofErr w:type="spellEnd"/>
    </w:p>
    <w:p w:rsidR="00536450" w:rsidRDefault="00536450" w:rsidP="0092230E">
      <w:pPr>
        <w:pStyle w:val="NoSpacing"/>
      </w:pPr>
    </w:p>
    <w:p w:rsidR="0092230E" w:rsidRDefault="0092230E" w:rsidP="0092230E">
      <w:pPr>
        <w:pStyle w:val="Heading3"/>
      </w:pPr>
      <w:r>
        <w:t>Spondylit</w:t>
      </w:r>
    </w:p>
    <w:p w:rsidR="0092230E" w:rsidRDefault="00371148" w:rsidP="0092230E">
      <w:pPr>
        <w:pStyle w:val="NoSpacing"/>
      </w:pPr>
      <w:r>
        <w:t xml:space="preserve">Symtom: lokaliserad ömhet, belastnings- och rörelsesmärtor, långsamt insjuknande med ryggvärk (vanligast i ländryggen), dunkömhet över spinalutskott, smärtfixering av ryggen, feber och </w:t>
      </w:r>
      <w:proofErr w:type="spellStart"/>
      <w:r>
        <w:t>ev</w:t>
      </w:r>
      <w:proofErr w:type="spellEnd"/>
      <w:r>
        <w:t xml:space="preserve"> allmänsymtom.</w:t>
      </w:r>
    </w:p>
    <w:p w:rsidR="00371148" w:rsidRPr="0092230E" w:rsidRDefault="00371148" w:rsidP="0092230E">
      <w:pPr>
        <w:pStyle w:val="NoSpacing"/>
      </w:pPr>
      <w:r>
        <w:t xml:space="preserve">Diagnos: MRT-ländrygg, blododlingar, </w:t>
      </w:r>
      <w:proofErr w:type="spellStart"/>
      <w:r>
        <w:t>kotbiopsi</w:t>
      </w:r>
      <w:proofErr w:type="spellEnd"/>
      <w:r>
        <w:t>.</w:t>
      </w:r>
    </w:p>
    <w:p w:rsidR="00CF59DD" w:rsidRDefault="00CF59DD" w:rsidP="00CF59DD">
      <w:pPr>
        <w:pStyle w:val="Heading1"/>
      </w:pPr>
      <w:r>
        <w:lastRenderedPageBreak/>
        <w:t>Akut omhändertagande</w:t>
      </w:r>
    </w:p>
    <w:p w:rsidR="00CF59DD" w:rsidRDefault="00CF59DD" w:rsidP="00CF59DD">
      <w:pPr>
        <w:pStyle w:val="Heading2"/>
      </w:pPr>
      <w:r>
        <w:t>Kardiologi</w:t>
      </w:r>
    </w:p>
    <w:p w:rsidR="00CF59DD" w:rsidRDefault="00CF59DD" w:rsidP="00CF59DD">
      <w:pPr>
        <w:pStyle w:val="NoSpacing"/>
      </w:pPr>
      <w:r>
        <w:t>Pat med OR och AT-påverkan</w:t>
      </w:r>
    </w:p>
    <w:p w:rsidR="00CF59DD" w:rsidRDefault="00CF59DD" w:rsidP="00CF59DD">
      <w:pPr>
        <w:pStyle w:val="NoSpacing"/>
      </w:pPr>
      <w:r>
        <w:t>Handläggning: EKG</w:t>
      </w:r>
    </w:p>
    <w:p w:rsidR="00F77E7A" w:rsidRDefault="00F77E7A" w:rsidP="00CF59DD">
      <w:pPr>
        <w:pStyle w:val="NoSpacing"/>
      </w:pPr>
    </w:p>
    <w:p w:rsidR="00F77E7A" w:rsidRDefault="00F77E7A" w:rsidP="00F77E7A">
      <w:pPr>
        <w:pStyle w:val="Heading3"/>
      </w:pPr>
      <w:proofErr w:type="spellStart"/>
      <w:r>
        <w:t>Hypokalemi</w:t>
      </w:r>
      <w:proofErr w:type="spellEnd"/>
    </w:p>
    <w:p w:rsidR="00F77E7A" w:rsidRDefault="00F77E7A" w:rsidP="00F77E7A">
      <w:pPr>
        <w:pStyle w:val="NoSpacing"/>
      </w:pPr>
      <w:r>
        <w:t>Risk för arytmi.</w:t>
      </w:r>
    </w:p>
    <w:p w:rsidR="00F77E7A" w:rsidRDefault="00F77E7A" w:rsidP="00F77E7A">
      <w:pPr>
        <w:pStyle w:val="NoSpacing"/>
      </w:pPr>
      <w:r>
        <w:t>Åtgärd: telemetri och kaliumsubstitution.</w:t>
      </w:r>
    </w:p>
    <w:p w:rsidR="00A7299C" w:rsidRDefault="00A7299C" w:rsidP="00F77E7A">
      <w:pPr>
        <w:pStyle w:val="NoSpacing"/>
      </w:pPr>
    </w:p>
    <w:p w:rsidR="00A7299C" w:rsidRDefault="00A7299C" w:rsidP="00A7299C">
      <w:pPr>
        <w:pStyle w:val="Heading2"/>
      </w:pPr>
      <w:r>
        <w:t>Övrigt</w:t>
      </w:r>
    </w:p>
    <w:p w:rsidR="00A7299C" w:rsidRDefault="00A7299C" w:rsidP="00A7299C">
      <w:pPr>
        <w:pStyle w:val="NoSpacing"/>
      </w:pPr>
      <w:r>
        <w:t xml:space="preserve">Högt blodsocker vanligt i </w:t>
      </w:r>
      <w:proofErr w:type="spellStart"/>
      <w:r>
        <w:t>sbd</w:t>
      </w:r>
      <w:proofErr w:type="spellEnd"/>
      <w:r>
        <w:t xml:space="preserve"> med akuta bakteriella infektioner med feber – stresspåslag</w:t>
      </w:r>
    </w:p>
    <w:p w:rsidR="00A7299C" w:rsidRPr="00A7299C" w:rsidRDefault="00A7299C" w:rsidP="00A7299C">
      <w:pPr>
        <w:pStyle w:val="NoSpacing"/>
      </w:pPr>
      <w:r>
        <w:t>Behandlas med kortverkande insulin</w:t>
      </w:r>
    </w:p>
    <w:sectPr w:rsidR="00A7299C" w:rsidRPr="00A7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65785"/>
    <w:multiLevelType w:val="hybridMultilevel"/>
    <w:tmpl w:val="073007A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1"/>
    <w:rsid w:val="00020DEA"/>
    <w:rsid w:val="0002468B"/>
    <w:rsid w:val="00027129"/>
    <w:rsid w:val="0003283C"/>
    <w:rsid w:val="00041DBD"/>
    <w:rsid w:val="00045681"/>
    <w:rsid w:val="00046B33"/>
    <w:rsid w:val="000519A0"/>
    <w:rsid w:val="00080BFB"/>
    <w:rsid w:val="000954ED"/>
    <w:rsid w:val="000969CF"/>
    <w:rsid w:val="000B4B58"/>
    <w:rsid w:val="000D6348"/>
    <w:rsid w:val="000D75B7"/>
    <w:rsid w:val="000F6D5D"/>
    <w:rsid w:val="001074FD"/>
    <w:rsid w:val="0011268B"/>
    <w:rsid w:val="0012752D"/>
    <w:rsid w:val="00157ACC"/>
    <w:rsid w:val="00176FB4"/>
    <w:rsid w:val="00193C7B"/>
    <w:rsid w:val="001C4464"/>
    <w:rsid w:val="0021070C"/>
    <w:rsid w:val="00244E21"/>
    <w:rsid w:val="00254094"/>
    <w:rsid w:val="00274520"/>
    <w:rsid w:val="00274764"/>
    <w:rsid w:val="00297EF4"/>
    <w:rsid w:val="002A4C41"/>
    <w:rsid w:val="002B39E7"/>
    <w:rsid w:val="002B56CF"/>
    <w:rsid w:val="002D4ED5"/>
    <w:rsid w:val="002E4AFC"/>
    <w:rsid w:val="002F2C56"/>
    <w:rsid w:val="00303E4E"/>
    <w:rsid w:val="00303EAF"/>
    <w:rsid w:val="00311244"/>
    <w:rsid w:val="003523DE"/>
    <w:rsid w:val="00354AB6"/>
    <w:rsid w:val="00371148"/>
    <w:rsid w:val="003721D5"/>
    <w:rsid w:val="00385B56"/>
    <w:rsid w:val="003C2448"/>
    <w:rsid w:val="003D4B3B"/>
    <w:rsid w:val="003F08A6"/>
    <w:rsid w:val="003F15AF"/>
    <w:rsid w:val="00402F54"/>
    <w:rsid w:val="00412682"/>
    <w:rsid w:val="004274A5"/>
    <w:rsid w:val="004313CE"/>
    <w:rsid w:val="004842EB"/>
    <w:rsid w:val="004A685F"/>
    <w:rsid w:val="004B0C80"/>
    <w:rsid w:val="004B6DD2"/>
    <w:rsid w:val="004C42FC"/>
    <w:rsid w:val="004D2907"/>
    <w:rsid w:val="004E19D1"/>
    <w:rsid w:val="004F7966"/>
    <w:rsid w:val="00536450"/>
    <w:rsid w:val="0055019A"/>
    <w:rsid w:val="005519A4"/>
    <w:rsid w:val="00570A84"/>
    <w:rsid w:val="00571B04"/>
    <w:rsid w:val="00571F6F"/>
    <w:rsid w:val="005750DD"/>
    <w:rsid w:val="00576C67"/>
    <w:rsid w:val="005847C6"/>
    <w:rsid w:val="0058729F"/>
    <w:rsid w:val="00591182"/>
    <w:rsid w:val="005A4F36"/>
    <w:rsid w:val="005B5204"/>
    <w:rsid w:val="005D2066"/>
    <w:rsid w:val="005F039C"/>
    <w:rsid w:val="00615917"/>
    <w:rsid w:val="00616400"/>
    <w:rsid w:val="00632089"/>
    <w:rsid w:val="00642227"/>
    <w:rsid w:val="0064613B"/>
    <w:rsid w:val="00653978"/>
    <w:rsid w:val="00665EA7"/>
    <w:rsid w:val="00667860"/>
    <w:rsid w:val="006759B4"/>
    <w:rsid w:val="006927CB"/>
    <w:rsid w:val="00696F02"/>
    <w:rsid w:val="006A7343"/>
    <w:rsid w:val="006D2A83"/>
    <w:rsid w:val="006D61A8"/>
    <w:rsid w:val="006E4E75"/>
    <w:rsid w:val="006E58B7"/>
    <w:rsid w:val="00700E62"/>
    <w:rsid w:val="00706972"/>
    <w:rsid w:val="0070720A"/>
    <w:rsid w:val="0074377D"/>
    <w:rsid w:val="00767030"/>
    <w:rsid w:val="007709C3"/>
    <w:rsid w:val="00785BCF"/>
    <w:rsid w:val="007A51DC"/>
    <w:rsid w:val="007C06DA"/>
    <w:rsid w:val="007C3CF8"/>
    <w:rsid w:val="007D1A12"/>
    <w:rsid w:val="007D64CF"/>
    <w:rsid w:val="007F27C1"/>
    <w:rsid w:val="007F4D96"/>
    <w:rsid w:val="00802EDC"/>
    <w:rsid w:val="00814E9F"/>
    <w:rsid w:val="00815A9D"/>
    <w:rsid w:val="00822AF3"/>
    <w:rsid w:val="00824A5F"/>
    <w:rsid w:val="0082748E"/>
    <w:rsid w:val="00837EDB"/>
    <w:rsid w:val="0087100B"/>
    <w:rsid w:val="00890555"/>
    <w:rsid w:val="008972BE"/>
    <w:rsid w:val="008A4EDD"/>
    <w:rsid w:val="008A5C29"/>
    <w:rsid w:val="008B37D5"/>
    <w:rsid w:val="008B3F1E"/>
    <w:rsid w:val="00902A84"/>
    <w:rsid w:val="00904A7E"/>
    <w:rsid w:val="00911A97"/>
    <w:rsid w:val="00916761"/>
    <w:rsid w:val="0092230E"/>
    <w:rsid w:val="00924818"/>
    <w:rsid w:val="009538A1"/>
    <w:rsid w:val="00956289"/>
    <w:rsid w:val="00965031"/>
    <w:rsid w:val="00966439"/>
    <w:rsid w:val="00970952"/>
    <w:rsid w:val="009737A9"/>
    <w:rsid w:val="009D2328"/>
    <w:rsid w:val="009E66CE"/>
    <w:rsid w:val="00A04D14"/>
    <w:rsid w:val="00A0527B"/>
    <w:rsid w:val="00A24323"/>
    <w:rsid w:val="00A51D19"/>
    <w:rsid w:val="00A57444"/>
    <w:rsid w:val="00A71D04"/>
    <w:rsid w:val="00A7299C"/>
    <w:rsid w:val="00A731D7"/>
    <w:rsid w:val="00A90827"/>
    <w:rsid w:val="00A9147D"/>
    <w:rsid w:val="00AB577C"/>
    <w:rsid w:val="00AD2413"/>
    <w:rsid w:val="00AD7477"/>
    <w:rsid w:val="00AE3C30"/>
    <w:rsid w:val="00B2343A"/>
    <w:rsid w:val="00B34634"/>
    <w:rsid w:val="00B35076"/>
    <w:rsid w:val="00B45FB3"/>
    <w:rsid w:val="00B607C0"/>
    <w:rsid w:val="00B61081"/>
    <w:rsid w:val="00B74495"/>
    <w:rsid w:val="00BB687E"/>
    <w:rsid w:val="00BC169A"/>
    <w:rsid w:val="00BC2BC6"/>
    <w:rsid w:val="00BD16F5"/>
    <w:rsid w:val="00BD2A48"/>
    <w:rsid w:val="00C1198D"/>
    <w:rsid w:val="00C1408B"/>
    <w:rsid w:val="00C26DA1"/>
    <w:rsid w:val="00C36AAC"/>
    <w:rsid w:val="00C5185C"/>
    <w:rsid w:val="00C55E26"/>
    <w:rsid w:val="00C9218D"/>
    <w:rsid w:val="00C9386E"/>
    <w:rsid w:val="00CD1A4A"/>
    <w:rsid w:val="00CD71EF"/>
    <w:rsid w:val="00CF59DD"/>
    <w:rsid w:val="00D174E9"/>
    <w:rsid w:val="00D4265B"/>
    <w:rsid w:val="00D45700"/>
    <w:rsid w:val="00D53831"/>
    <w:rsid w:val="00D65D4E"/>
    <w:rsid w:val="00D6707D"/>
    <w:rsid w:val="00D902C7"/>
    <w:rsid w:val="00D90532"/>
    <w:rsid w:val="00DB2C2E"/>
    <w:rsid w:val="00DC4FF6"/>
    <w:rsid w:val="00DE4330"/>
    <w:rsid w:val="00E0664E"/>
    <w:rsid w:val="00E809AD"/>
    <w:rsid w:val="00E948C7"/>
    <w:rsid w:val="00EA2069"/>
    <w:rsid w:val="00EA3197"/>
    <w:rsid w:val="00EA5480"/>
    <w:rsid w:val="00EA6E22"/>
    <w:rsid w:val="00EB55AA"/>
    <w:rsid w:val="00EE38C0"/>
    <w:rsid w:val="00EF0B61"/>
    <w:rsid w:val="00EF137F"/>
    <w:rsid w:val="00F008DC"/>
    <w:rsid w:val="00F02EC0"/>
    <w:rsid w:val="00F10311"/>
    <w:rsid w:val="00F14B01"/>
    <w:rsid w:val="00F171F9"/>
    <w:rsid w:val="00F212EF"/>
    <w:rsid w:val="00F3224B"/>
    <w:rsid w:val="00F350F2"/>
    <w:rsid w:val="00F75F4C"/>
    <w:rsid w:val="00F77E7A"/>
    <w:rsid w:val="00F942E3"/>
    <w:rsid w:val="00FA1999"/>
    <w:rsid w:val="00FB662F"/>
    <w:rsid w:val="00FB6ACA"/>
    <w:rsid w:val="00FD1F19"/>
    <w:rsid w:val="00FD2953"/>
    <w:rsid w:val="00FE072D"/>
    <w:rsid w:val="00FE56A6"/>
    <w:rsid w:val="00FF32F7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A1CC-8CC7-4C30-973A-7019EB75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C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3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1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E1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19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4E19D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B2C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12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63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17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3740378F-FB3E-46BD-BA1D-F93B542D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8093</TotalTime>
  <Pages>13</Pages>
  <Words>3833</Words>
  <Characters>20317</Characters>
  <Application>Microsoft Office Word</Application>
  <DocSecurity>0</DocSecurity>
  <Lines>169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 Afshar</dc:creator>
  <cp:keywords/>
  <dc:description/>
  <cp:lastModifiedBy>Soren Afshar</cp:lastModifiedBy>
  <cp:revision>55</cp:revision>
  <dcterms:created xsi:type="dcterms:W3CDTF">2014-04-22T16:42:00Z</dcterms:created>
  <dcterms:modified xsi:type="dcterms:W3CDTF">2014-05-12T00:01:00Z</dcterms:modified>
</cp:coreProperties>
</file>